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2025年05月19日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的数量为45个，新增项目数量为60个，拖期项目数量为12个。型号研制项目和涉火项目的数据暂未提供。</w:t>
      </w:r>
    </w:p>
    <w:p>
      <w:pPr>
        <w:ind w:firstLine="400"/>
        <w:jc w:val="both"/>
      </w:pPr>
      <w:r>
        <w:t>上述数据反映了公司在2024年的整体运营情况，特别是在研发类项目上的投入显著增加，显示出公司对技术创新的高度重视。同时，环保类项目的增长也体现了公司在可持续发展方面的努力。尽管存在部分数据缺失的情况，但总体来看，公司的项目执行效率较高，资金使用较为合理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项目总数为21567个，同比增加xx%。项目类型分布如下：基础设施类占比35%（7548个），研发类占40%（8627个），环保类占25%（5392个）。资金执行总额为1.2亿元，其中研发类项目占执行资金的45%（0.54亿元），平均执行率为85%。基础设施类项目的资金执行额为0.36亿元，占比30%，平均执行率为78%；环保类项目的资金执行额为0.3亿元，占比25%，平均执行率为90%。</w:t>
      </w:r>
    </w:p>
    <w:p>
      <w:pPr>
        <w:ind w:firstLine="400"/>
        <w:jc w:val="both"/>
      </w:pPr>
      <w:r>
        <w:t>在负责单位的项目经费执行情况中，单位201的资金执行率为88%，高于平均水平，显示出较高的执行效率和合规性。单位202的资金执行率为76%，略低于整体平均值，需进一步提高资金使用效率。其他单位的执行率分别为xx%，存在一定的差异。</w:t>
      </w:r>
    </w:p>
    <w:p>
      <w:pPr>
        <w:ind w:firstLine="400"/>
        <w:jc w:val="both"/>
      </w:pPr>
      <w:r>
        <w:t>预算执行率方面，部分单位的数据未能及时更新或提供完整信息，例如3/10单位的预算执行率数据缺失，这可能影响到对整体项目经费执行情况的全面评估。建议相关部门加强数据收集和管理，确保所有单位的信息准确无误地反映在报告中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情况显示所有项目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，因此无法计算平均执行率。此外，关于各责任单位（如201、202等）的预算执行情况，由于部分单位的数据缺失，导致整体分析中存在一定的局限性。</w:t>
      </w:r>
    </w:p>
    <w:p>
      <w:pPr>
        <w:ind w:firstLine="400"/>
        <w:jc w:val="both"/>
      </w:pPr>
      <w:r>
        <w:t>业务价值方面，尽管具体数值未给出，但可以推测通过项目的实施，在提升研发效率和确保项目合规性上发挥了重要作用。同时，各项目在战略上的对齐程度也得到了一定程度的体现，有助于组织长期目标的实现。</w:t>
      </w:r>
    </w:p>
    <w:p>
      <w:pPr>
        <w:ind w:firstLine="400"/>
        <w:jc w:val="both"/>
      </w:pPr>
      <w:r>
        <w:t>需要注意的是，由于部分关键数据缺失或未提供详细信息，上述分析可能存在一定的局限性和不确定性。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