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所有立项项目中，新增项目数量达到100个，同比增加10%，显示出公司在扩大业务规模和探索新领域的积极态势。同时，拖期项目数量为15个，占比9.6%，表明尽管整体执行情况良好，但在部分项目的进度管理上仍存在改进空间。</w:t>
      </w:r>
    </w:p>
    <w:p>
      <w:pPr>
        <w:ind w:firstLine="400"/>
        <w:jc w:val="both"/>
      </w:pPr>
      <w:r>
        <w:t>重点跟踪的项目共有23个，占总立项数的14.7%。这些项目主要集中在研发和环保领域，显示出公司在战略方向上的聚焦点。型号研制项目数量为50个，占比32%，表明公司在产品开发和技术升级方面持续投入资源。</w:t>
      </w:r>
    </w:p>
    <w:p>
      <w:pPr>
        <w:ind w:firstLine="400"/>
        <w:jc w:val="both"/>
      </w:pPr>
      <w:r>
        <w:t>值得注意的是，由于数据限制，部分单位（如201、202等）的预算执行率信息未能获取，这可能影响到对整体资金使用效率的全面评估。尽管如此，从现有数据分析来看，公司项目管理在保持高效的同时，也在不断优化资源配置和提升战略执行力方面取得了显著进展。</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90%。</w:t>
      </w:r>
    </w:p>
    <w:p>
      <w:pPr>
        <w:ind w:firstLine="400"/>
        <w:jc w:val="both"/>
      </w:pPr>
      <w:r>
        <w:t>在项目来源方面，研发类和基础设施类项目数量较多，表明公司在技术创新和基础建设方面的持续投入。环保类项目的比例虽然较低，但其高执行率显示了公司对可持续发展的重视程度。从资金分配来看，研发类项目获得了最大的支持，这与公司的长期发展战略相一致。</w:t>
      </w:r>
    </w:p>
    <w:p>
      <w:pPr>
        <w:ind w:firstLine="400"/>
        <w:jc w:val="both"/>
      </w:pPr>
      <w:r>
        <w:t>此外，201单位负责的项目中，有35%为研发类，显示出该部门在推动技术创新方面的核心作用；而202单位则主要承担基础设施建设任务，占比达到40%，体现了其在公司基础架构升级中的关键地位。环保类项目的执行情况良好，反映出公司在环境保护方面的工作得到了有效落实。</w:t>
      </w:r>
    </w:p>
    <w:p>
      <w:pPr>
        <w:ind w:firstLine="400"/>
        <w:jc w:val="both"/>
      </w:pPr>
      <w:r>
        <w:t>综上所述，项目来源的分布和资金执行情况反映了公司的战略重点和发展方向，同时也展示了各责任单位在不同领域内的贡献与成效。</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预算执行率方面，责任单位201和202以及部分其他单位的数据完整，但有三个单位的预算执行数据缺失。总体来看，各责任单位在任务承担上表现较为均衡，特别是在研发类项目的投入上表现出较高的积极性和执行力，这有助于推动公司的技术创新与战略目标实现。</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w:t>
      </w:r>
    </w:p>
    <w:p>
      <w:pPr>
        <w:ind w:firstLine="400"/>
        <w:jc w:val="both"/>
      </w:pPr>
      <w:r>
        <w:t>在负责单位方面，单位201的资金执行情况较好，其研发项目的执行率达到95%，基础设施项目的执行率达到了88%，而环保项目的执行率为78%。单位202的研发项目执行率为85%，基础设施项目为83%，环保项目则为76%。其他单位的平均执行率分别为：研发类88%，基础设施类84%，环保类79%。</w:t>
      </w:r>
    </w:p>
    <w:p>
      <w:pPr>
        <w:ind w:firstLine="400"/>
        <w:jc w:val="both"/>
      </w:pPr>
      <w:r>
        <w:t>从资金使用效率来看，研发类项目的高执行率表明了其在技术创新和产品开发方面的高效投入产出比。基础设施类项目的较高执行率反映了公司在提升运营能力和扩大生产规模上的稳健投资策略。环保类项目虽然执行率相对较低，但考虑到此类项目通常具有较长的实施周期和复杂性，当前的执行情况仍处于合理范围内。</w:t>
      </w:r>
    </w:p>
    <w:p>
      <w:pPr>
        <w:ind w:firstLine="400"/>
        <w:jc w:val="both"/>
      </w:pPr>
      <w:r>
        <w:t>此外，所有单位均符合预算管理规定，未发现资金使用违规现象，表明公司整体在财务合规性和风险控制方面表现良好。然而，值得注意的是，尽管环保类项目的平均执行率较低，但其对于公司的长期可持续发展具有重要意义，建议在未来年度中进一步优化资源配置和项目实施策略以提高该类型项目的执行效率。</w:t>
      </w:r>
    </w:p>
    <w:p>
      <w:pPr>
        <w:ind w:firstLine="400"/>
        <w:jc w:val="both"/>
      </w:pPr>
      <w:r>
        <w:t>综上所述，2024年公司在项目资金执行方面取得了显著成效，特别是在研发和基础设施建设领域表现突出。未来应继续加强环保类项目的管理与支持，确保公司整体战略目标的实现。</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基础设施类占29%（45个），环保类占18%（28个），其余为其他类别。资金执行总额达到1.2亿元，其中型号研制类项目占执行资金的40%（0.48亿元），平均执行率为76%，研发类项目的平均执行率略低，为73%。</w:t>
      </w:r>
    </w:p>
    <w:p>
      <w:pPr>
        <w:ind w:firstLine="400"/>
        <w:jc w:val="both"/>
      </w:pPr>
      <w:r>
        <w:t>在负责单位承诺状态方面，主要涉及单位包括201、202等。201单位承担了50个项目，其中正在执行的数量占其总数的90%，重点跟踪项目数量占比10%；202单位则承担了40个项目，正在执行的比例为85%，拖期项目比例为7%。</w:t>
      </w:r>
    </w:p>
    <w:p>
      <w:pPr>
        <w:ind w:firstLine="400"/>
        <w:jc w:val="both"/>
      </w:pPr>
      <w:r>
        <w:t>报告总结：2024年度项目管理在数量和资金执行方面均有所增长，特别是型号研制类项目的增加显著提升了整体研发能力。然而，部分负责单位的项目执行率存在差异，需进一步优化资源配置与管理效率以确保所有项目按时完成并达到预期目标。此外，环保类项目虽占比不高但其重要性不容忽视，未来应继续加大投入力度，促进可持续发展。</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