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15%（0.18亿元）。</w:t>
      </w:r>
    </w:p>
    <w:p>
      <w:pPr>
        <w:ind w:firstLine="400"/>
        <w:jc w:val="both"/>
      </w:pPr>
      <w:r>
        <w:t>在所有立项项目中，新增项目数量达到92个，同比增加10%，显示出公司在扩大业务规模和探索新领域的积极态势。拖期项目数量为14个，占比9%，表明尽管整体执行情况良好，但仍存在部分项目未能按时完成的情况。重点跟踪的项目有35个，占总项目的22%。</w:t>
      </w:r>
    </w:p>
    <w:p>
      <w:pPr>
        <w:ind w:firstLine="400"/>
        <w:jc w:val="both"/>
      </w:pPr>
      <w:r>
        <w:t>从项目来源看，内部发起的项目占60%，外部合作项目占40%，显示出公司在保持自主创新能力的同时，也在积极寻求与外部合作伙伴的合作机会。在负责单位方面，单位201和202分别承担了主要的研发类和基础设施类项目执行任务，表现出较高的执行力。</w:t>
      </w:r>
    </w:p>
    <w:p>
      <w:pPr>
        <w:ind w:firstLine="400"/>
        <w:jc w:val="both"/>
      </w:pPr>
      <w:r>
        <w:t>需要注意的是，预算执行率数据对于3/10的单位不可用，这可能影响整体资金使用效率评估的准确性。</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90%，而202单位的环保项目执行率为85%。这些数据有助于进一步分析各单位在不同领域的工作效率和资源分配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7600万元，占总执行资金的31.67%，其项目平均执行率为89%；单位202的资金执行总额为5400万元，占比22.5%，其项目平均执行率为87%。</w:t>
      </w:r>
    </w:p>
    <w:p>
      <w:pPr>
        <w:ind w:firstLine="400"/>
        <w:jc w:val="both"/>
      </w:pPr>
      <w:r>
        <w:t>值得注意的是，尽管整体执行率较高，但仍有部分项目的预算执行情况存在差异。例如，环保类项目虽然在数量上较少，但在资金使用效率方面表现突出，显示出较高的战略价值和合规性。此外，研发类项目由于涉及长期投入和技术积累，在资金分配和执行过程中需要持续关注其与公司整体战略的对齐度。</w:t>
      </w:r>
    </w:p>
    <w:p>
      <w:pPr>
        <w:ind w:firstLine="400"/>
        <w:jc w:val="both"/>
      </w:pPr>
      <w:r>
        <w:t>本年度的资金执行情况反映了公司在资源配置上的高效性和精准性，同时也为未来的项目规划提供了重要的参考依据。</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的资金执行率为85%，新增项目的资金执行率为69%。</w:t>
      </w:r>
    </w:p>
    <w:p>
      <w:pPr>
        <w:ind w:firstLine="400"/>
        <w:jc w:val="both"/>
      </w:pPr>
      <w:r>
        <w:t>在负责单位承诺方面，单位201、202及其他单位均按时提交了项目进展报告，并完成了年度目标的80%以上。其中，单位201完成率最高，达到92%，而单位202为75%。重点跟踪项目的执行情况较好，但新增项目和拖期项目的执行情况仍需进一步改善。</w:t>
      </w:r>
    </w:p>
    <w:p>
      <w:pPr>
        <w:ind w:firstLine="400"/>
        <w:jc w:val="both"/>
      </w:pPr>
      <w:r>
        <w:t>业务价值方面，通过优化资源配置和提高资金使用效率，整体项目执行效果显著提升，特别是在型号研制类项目中表现突出，有效推动了公司的技术创新与市场竞争力的增强。此外，涉火项目在确保安全生产的同时，也促进了公司内部管理流程的合规性改进。</w:t>
      </w:r>
    </w:p>
    <w:p>
      <w:pPr>
        <w:ind w:firstLine="400"/>
        <w:jc w:val="both"/>
      </w:pPr>
      <w:r>
        <w:t>需要注意的是，预算执行率数据对于3/10单位仍不可用，这可能影响整体评估的准确性。未来应进一步加强数据收集和分析能力，以提高报告的全面性和精确度。</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