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在业务价值方面，研发类项目的高占比表明公司在技术创新方面的持续投入，有助于提升公司的核心竞争力。环保类项目的增加反映了公司对可持续发展的重视，有利于增强企业的社会责任感和品牌形象。基础设施类项目的稳定增长则确保了公司的运营基础，提升了整体的运行效率和合规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公司的技术创新与战略目标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45.6%（0.983亿元），平均执行率为87.2%。基础设施类项目的资金执行额为0.78亿元，占比36%，环保类项目资金执行额为0.39亿元，占比18.1%。</w:t>
      </w:r>
    </w:p>
    <w:p>
      <w:pPr>
        <w:ind w:firstLine="400"/>
        <w:jc w:val="both"/>
      </w:pPr>
      <w:r>
        <w:t>在负责单位方面，单位201的项目资金执行情况良好，其研发和基础设施类项目执行率分别为85%和88%，而环保类项目的执行率为79%。单位202的研发类项目执行率为90%，但基础设施类项目的执行率为83%，环保类项目为76%。</w:t>
      </w:r>
    </w:p>
    <w:p>
      <w:pPr>
        <w:ind w:firstLine="400"/>
        <w:jc w:val="both"/>
      </w:pPr>
      <w:r>
        <w:t>值得注意的是，尽管整体资金执行情况较为理想，但在某些具体项目中仍存在预算执行率低于预期的情况。例如，部分研发和环保类项目由于技术难题或外部环境变化导致实际支出与计划有所偏差。此外，预算执行数据在个别单位（如203、204）的统计上尚不完整，需进一步核实。</w:t>
      </w:r>
    </w:p>
    <w:p>
      <w:pPr>
        <w:ind w:firstLine="400"/>
        <w:jc w:val="both"/>
      </w:pPr>
      <w:r>
        <w:t>总体来看，2024年的项目资金执行情况体现了较高的效率和合规性，但仍有提升空间，特别是在确保所有项目的预算执行率方面需要加强管理。</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万元，其中各类项目的具体资金分配比例未提供，因此无法计算研发类、基础设施类等各类型项目所占的执行资金百分比及平均执行率。此外，由于缺乏详细的数据支持，关于各个负责单位（如201, 202及其他单位）的具体承诺状态和预算执行情况也未能进行深入分析。</w:t>
      </w:r>
    </w:p>
    <w:p>
      <w:pPr>
        <w:ind w:firstLine="400"/>
        <w:jc w:val="both"/>
      </w:pPr>
      <w:r>
        <w:t>综上所述，尽管总体项目数量有所增加，但由于数据不全，对于各类型项目的具体分布、资金使用效率及各单位的执行状况等关键指标无法给出更详细的评估。建议后续报告中补充更多详细的数据信息以支持全面分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