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15%（0.18亿元）。</w:t>
      </w:r>
    </w:p>
    <w:p>
      <w:pPr>
        <w:ind w:firstLine="400"/>
        <w:jc w:val="both"/>
      </w:pPr>
      <w:r>
        <w:t>在所有立项项目中，新增项目数量达到92个，同比增加10%，显示出公司在扩大业务规模和探索新领域的积极态势。同时，拖期项目数量为14个，占比9%，表明尽管整体执行情况良好，但在部分项目的进度管理上仍存在改进空间。</w:t>
      </w:r>
    </w:p>
    <w:p>
      <w:pPr>
        <w:ind w:firstLine="400"/>
        <w:jc w:val="both"/>
      </w:pPr>
      <w:r>
        <w:t>重点跟踪的项目共有35个，占总立项数的22%。这些项目主要集中在研发类（20个）和环保类（15个），显示出公司在战略方向上的明确聚焦点。型号研制项目数量为48个，占比31%，表明公司在产品开发和技术升级方面持续投入。</w:t>
      </w:r>
    </w:p>
    <w:p>
      <w:pPr>
        <w:ind w:firstLine="400"/>
        <w:jc w:val="both"/>
      </w:pPr>
      <w:r>
        <w:t>值得注意的是，由于数据限制，部分单位的预算执行率信息未能获取，具体影响了3/10单位的数据完整性。尽管如此，整体来看，2024年的项目立项和资金执行情况均显示出良好的增长趋势和较高的执行效率，为公司的战略目标实现提供了有力支持。</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90%。</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92%，而202单位的环保项目执行率仅为85%。这些数据有助于进一步分析各单位在项目管理和资金使用效率上的表现，并为未来的资源配置提供参考依据。</w:t>
      </w:r>
    </w:p>
    <w:p>
      <w:pPr>
        <w:ind w:firstLine="400"/>
        <w:jc w:val="both"/>
      </w:pPr>
      <w:r>
        <w:t>此外，部分项目的预算执行情况尚未完全统计，如3/10单位的数据暂未更新，这可能影响整体评估的准确性。建议相关部门加快数据收集和整理工作，以确保报告的全面性和及时性。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和基础设施项目的执行率分别为92%和88%，而单位202则在环保项目上表现突出，执行率达到82%。然而，预算执行率对于3/10的单位是不可用的，这可能影响了整体数据的完整性。</w:t>
      </w:r>
    </w:p>
    <w:p>
      <w:pPr>
        <w:ind w:firstLine="400"/>
        <w:jc w:val="both"/>
      </w:pPr>
      <w:r>
        <w:t>从效率角度来看，高执行率表明资金使用较为高效，且各项目的实际支出与计划相符度较高。此外，在合规性方面，较高的执行率也反映了项目管理过程中的良好控制和监督机制。在战略对齐上，研发类项目的高占比及相应的高执行率显示了组织对于技术创新的重视和支持。</w:t>
      </w:r>
    </w:p>
    <w:p>
      <w:pPr>
        <w:ind w:firstLine="400"/>
        <w:jc w:val="both"/>
      </w:pPr>
      <w:r>
        <w:t>综上所述，2024年的资金执行情况总体表现积极，特别是在研发领域，显示出良好的业务价值和战略导向。</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69%，重点跟踪项目和新增项目的资金执行率分别为83%和75%。</w:t>
      </w:r>
    </w:p>
    <w:p>
      <w:pPr>
        <w:ind w:firstLine="400"/>
        <w:jc w:val="both"/>
      </w:pPr>
      <w:r>
        <w:t>在负责单位承诺方面，单位201、202和其他单位均按时提交了相关报告，并完成了年度目标的85%。预算执行情况显示，大部分单位的资金使用较为合理，但有三个单位（占总数的3/10）的预算执行率数据不可用，这可能影响整体评估。</w:t>
      </w:r>
    </w:p>
    <w:p>
      <w:pPr>
        <w:ind w:firstLine="400"/>
        <w:jc w:val="both"/>
      </w:pPr>
      <w:r>
        <w:t>业务价值方面，通过优化项目管理和提高资金使用效率，本年度在提升企业竞争力和战略目标实现上取得了显著成效。特别是在型号研制类项目的推动下，企业的研发能力和市场响应速度得到了明显增强。此外，涉火项目的安全性和环保类项目的可持续性也得到了有效保障，符合国家相关政策要求。</w:t>
      </w:r>
    </w:p>
    <w:p>
      <w:pPr>
        <w:ind w:firstLine="400"/>
        <w:jc w:val="both"/>
      </w:pPr>
      <w:r>
        <w:t>综上所述，2024年公司在项目管理和资金执行方面表现良好，但在数据完整性和部分单位的预算执行情况上仍需进一步改进。未来应继续加强内部管理，确保所有单位的数据透明度和准确性，以支持更有效的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