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重点跟踪的项目有58个，占比约为37%，表明公司对关键项目的重视程度较高。然而，拖期项目数量为24个，占总立项数的15.4%，这可能反映了在项目管理和执行过程中存在一定的挑战。</w:t>
      </w:r>
    </w:p>
    <w:p>
      <w:pPr>
        <w:ind w:firstLine="400"/>
        <w:jc w:val="both"/>
      </w:pPr>
      <w:r>
        <w:t>从项目来源来看，内部发起的项目占总数的60%（94个项目），外部合作或委托项目占比40%（62个项目）。这种分布表明公司在利用内外部资源推动业务发展方面保持了良好的平衡。此外，型号研制项目的数量为35个，涉火项目数量为18个，这些数据反映了公司在特定技术领域和高风险项目上的投入。</w:t>
      </w:r>
    </w:p>
    <w:p>
      <w:pPr>
        <w:ind w:firstLine="400"/>
        <w:jc w:val="both"/>
      </w:pPr>
      <w:r>
        <w:t>总体来看，尽管存在一些执行挑战，但公司2024年的项目立项和资金执行情况显示出积极的发展趋势，并且在研发、基础设施建设和环保等关键领域的布局较为合理。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较高的资金执行率显示了公司对可持续发展的重视程度。从整体来看，各类型项目的分布合理，符合公司的战略规划和发展目标。此外，高平均执行率反映了公司在项目管理和资源分配上的高效性，有助于确保各项业务的顺利推进和合规运营。</w:t>
      </w:r>
    </w:p>
    <w:p>
      <w:pPr>
        <w:ind w:firstLine="400"/>
        <w:jc w:val="both"/>
      </w:pPr>
      <w:r>
        <w:t>值得注意的是，尽管研发类项目数量最多且资金投入较大，但其执行率略低于环保类项目，这可能需要进一步分析以优化资源配置和管理流程。同时，基础设施项目的执行率相对较低，可能是由于建设周期较长或受外部因素影响所致，需持续关注并采取相应措施提高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各责任单位在承担任务时表现出较高的执行力和效率，特别是在研发类项目的投入上表现突出，显示出对组织战略目标的高度支持。然而，预算执行率数据对于3/10的责任单位不可用，这可能影响整体评估的准确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在负责单位方面，单位201的资金执行情况较好，其研发和基础设施项目的执行率分别为92%和88%，而单位202则在环保项目上表现突出，执行率达到82%。然而，预算执行率对于3/10的单位来说是不可用的。</w:t>
      </w:r>
    </w:p>
    <w:p>
      <w:pPr>
        <w:ind w:firstLine="400"/>
        <w:jc w:val="both"/>
      </w:pPr>
      <w:r>
        <w:t>从效率角度来看，高执行率表明资金使用较为高效，且符合既定的战略目标。此外，研发类项目的高占比和高执行率也体现了组织对创新和技术进步的重视，这有助于提升长期竞争力并保持市场领先地位。</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和新增项目的资金执行率分别为79%和68%。</w:t>
      </w:r>
    </w:p>
    <w:p>
      <w:pPr>
        <w:ind w:firstLine="400"/>
        <w:jc w:val="both"/>
      </w:pPr>
      <w:r>
        <w:t>在负责单位承诺方面，单位201、202和其他单位均按时提交了相关报告，并完成了年度目标的85%。预算执行情况显示，大部分单位的资金使用较为合理，但有3个单位的预算执行数据缺失或不完整，具体为单位204、207和210。</w:t>
      </w:r>
    </w:p>
    <w:p>
      <w:pPr>
        <w:ind w:firstLine="400"/>
        <w:jc w:val="both"/>
      </w:pPr>
      <w:r>
        <w:t>总体来看，尽管部分项目存在拖期现象，但整体项目的推进效率较高，且在资金管理和执行方面表现良好。未来应进一步加强对于重点跟踪项目的支持力度，并提高所有负责单位的数据透明度与准确性，以确保项目管理的高效性和合规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