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项目来源情况</w:t>
        <w:t>项目来源总数量为145个。</w:t>
      </w:r>
      <w:r>
        <w:rPr>
          <w:b/>
        </w:rPr>
        <w:t>责任单位任务承担情况</w:t>
        <w:t>由于数据库数据为空，无法进行分析和总结责任单位的任务承担情况。需要提供具体的数据才能生成详细的分析报告。建议检查数据输入，确保数据的完整性和准确性。如果数据包含责任单位的任务分配、完成情况、时间线等信息，将能够生成更为详细的分析报告。例如，可以总结每个单位承担的任务数量、完成情况、是否存在延误等。同时，还可以分析任务分配的合理性，是否存在任务过载或资源分配不均等问题。此外，还可以根据任务的完成情况，评估责任单位的工作效率和质量，为未来的工作安排和资源分配提供参考。最后，如果数据包含时间线信息，还可以分析任务完成的时间趋势，了解责任单位的工作节奏和效率变化。</w:t>
      </w:r>
      <w:r>
        <w:rPr>
          <w:b/>
        </w:rPr>
        <w:t>项目经费执行情况</w:t>
        <w:t>项目经费执行总金额为145万元。</w:t>
      </w:r>
    </w:p>
    <w:p>
      <w:r>
        <w:t>体概况分析：当前系统中共计有145个项目。具体分布如下：正在执行的项目数量未知，型号研制项目数量未知，涉火项目数量未知，重点跟踪项目数量未知，新增项目数量未知，拖期项目数量未知。由于这些具体数据缺失，无法提供详细的项目状态分布和趋</w:t>
      </w:r>
    </w:p>
    <w:p>
      <w:r>
        <w:t>源总数量为1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据库数据为空，无法进行分析和总结责任单位的任务承担情况。需要提供具体的数据才能生成详细的分析报告。建议检查数据输入，确保数据的完整性和准确性。如果数据包含责任单位的任务分配、完成情况、时间线等信息，将能够生成更为详细的分析报告。例如，可以总结每个单位承担的任务数量、完成情况、是否存在延误等。同时，还可以分析任务分配的合理性，是否存在任务过载或资源分配不均等问题。此外，还可以根据任务的完成情况，评估责任单位的工作效率和质量，为未来的工作安排和资源分配提供参考。最后，如果数据包含时间线信息，还可以分析任务完成的时间趋势，了解责任单位的工作节奏和效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