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2025年05月17日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156个项目，同比增加8%。项目类型分布：基础设施类占比30%（47个），研发类占45%（70个），环保类占25%（39个）。资金执行总额为1.2亿元，其中研发类项目占执行资金的50%（0.6亿元），平均执行率为85%。基础设施类项目的资金占比为30%（0.36亿元），环保类项目则占20%（0.24亿元）。</w:t>
      </w:r>
    </w:p>
    <w:p>
      <w:pPr>
        <w:ind w:firstLine="400"/>
        <w:jc w:val="both"/>
      </w:pPr>
      <w:r>
        <w:t>在负责单位承诺方面，单位201和202分别承担了其中的40个和30个项目，其余由其他单位分担。重点跟踪项目的数量为25个，新增项目数量达到36个，而拖期项目数量则有8个。项目来源情况显示，内部发起的项目占总数的70%，外部合作项目占比30%。</w:t>
      </w:r>
    </w:p>
    <w:p>
      <w:pPr>
        <w:ind w:firstLine="400"/>
        <w:jc w:val="both"/>
      </w:pPr>
      <w:r>
        <w:t>预算执行方面，尽管整体执行率较高，但仍有部分单位的数据缺失或不完整，例如预算执行率数据在10个单位中仅可获取7个单位的信息。</w:t>
      </w:r>
    </w:p>
    <w:p>
      <w:pPr>
        <w:pStyle w:val="Heading1"/>
        <w:spacing w:before="10" w:after="10" w:line="360" w:lineRule="auto"/>
      </w:pPr>
      <w:r>
        <w:rPr>
          <w:rFonts w:ascii="宋体" w:hAnsi="宋体" w:eastAsia="宋体"/>
          <w:color w:val="000000"/>
        </w:rPr>
        <w:t>项目来源情况</w:t>
      </w:r>
    </w:p>
    <w:p>
      <w:pPr>
        <w:ind w:firstLine="400"/>
        <w:jc w:val="both"/>
      </w:pPr>
      <w:r>
        <w:t>2024年共立项368个项目，同比增加12%。项目类型分布：基础设施类占比35%（129个），研发类占40%（147个），环保类占25%（92个）。资金执行总额为1.8亿元，其中研发类项目占执行资金的45%（0.81亿元），平均执行率为86%。基础设施类项目的资金占比为30%（0.54亿元），平均执行率为78%，环保类项目资金占比为25%（0.45亿元），平均执行率为92%。</w:t>
      </w:r>
    </w:p>
    <w:p>
      <w:pPr>
        <w:ind w:firstLine="400"/>
        <w:jc w:val="both"/>
      </w:pPr>
      <w:r>
        <w:t>在项目来源方面，研发类和基础设施类项目数量较多，表明公司在技术创新和基础建设方面的持续投入。环保类项目的比例虽然较低，但其高执行率显示了公司对可持续发展的重视程度。从资金分配来看，研发类项目获得了最大的支持，这与公司的长期发展战略相一致。</w:t>
      </w:r>
    </w:p>
    <w:p>
      <w:pPr>
        <w:ind w:firstLine="400"/>
        <w:jc w:val="both"/>
      </w:pPr>
      <w:r>
        <w:t>此外，201单位负责的项目中，有35%为研发类项目，而202单位则主要承担基础设施建设任务，占比达到40%，显示出各单位在不同领域中的专业分工和责任担当。</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其在技术创新和产品开发方面的高效投入产出比。基础设施类项目的较高执行率反映了公司在提升运营能力和扩大生产规模上的稳健投资策略。环保类项目虽然执行率相对较低，但考虑到此类项目通常具有较长的实施周期和复杂性，当前的执行情况仍处于合理范围内。</w:t>
      </w:r>
    </w:p>
    <w:p>
      <w:pPr>
        <w:ind w:firstLine="400"/>
        <w:jc w:val="both"/>
      </w:pPr>
      <w:r>
        <w:t>此外，所有单位均符合预算管理规定，未发现资金使用违规现象，表明公司整体在财务合规性和风险控制方面表现良好。然而，值得注意的是，尽管环保类项目的平均执行率较低，但其对于公司的长期可持续发展具有重要意义，建议在未来年度中进一步优化资源配置和项目实施策略以提高该类型项目的执行效率。</w:t>
      </w:r>
    </w:p>
    <w:p>
      <w:pPr>
        <w:ind w:firstLine="400"/>
        <w:jc w:val="both"/>
      </w:pPr>
      <w:r>
        <w:t>综上所述，2024年公司在项目资金执行方面整体表现出色，特别是在研发和基础设施建设方面的高效投入为公司未来的发展奠定了坚实基础。</w:t>
      </w:r>
    </w:p>
    <w:p>
      <w:pPr>
        <w:pStyle w:val="Heading1"/>
        <w:spacing w:before="10" w:after="10" w:line="360" w:lineRule="auto"/>
      </w:pPr>
      <w:r>
        <w:rPr>
          <w:rFonts w:ascii="宋体" w:hAnsi="宋体" w:eastAsia="宋体"/>
          <w:color w:val="000000"/>
        </w:rPr>
        <w:t>项目报告总结</w:t>
      </w:r>
    </w:p>
    <w:p>
      <w:pPr>
        <w:ind w:firstLine="400"/>
        <w:jc w:val="both"/>
      </w:pPr>
      <w:r>
        <w:t>2024年共立项156个项目，同比增加8%。项目类型分布：型号研制类占比37%（58个），基础设施类占29%（45个），环保类占18%（28个），其余为其他类别。资金执行总额达到1.2亿元，其中型号研制类项目占执行资金的40%（0.48亿元），平均执行率为76%，研发类项目的平均执行率略低，为73%。</w:t>
      </w:r>
    </w:p>
    <w:p>
      <w:pPr>
        <w:ind w:firstLine="400"/>
        <w:jc w:val="both"/>
      </w:pPr>
      <w:r>
        <w:t>在负责单位承诺状态方面，主要涉及单位包括201、202等。201单位承担了50个项目，其中正在执行的数量占其总数的90%，重点跟踪项目数量占比10%；202单位则承担了40个项目，正在执行的比例为85%，拖期项目比例为7%。</w:t>
      </w:r>
    </w:p>
    <w:p>
      <w:pPr>
        <w:ind w:firstLine="400"/>
        <w:jc w:val="both"/>
      </w:pPr>
      <w:r>
        <w:t>报告总结：2024年度项目管理在数量和资金执行方面均有所增长，特别是型号研制类项目的增加显著提升了整体研发能力。然而，部分负责单位的项目执行率存在差异，需进一步优化资源配置与管理效率以确保所有项目按时完成并达到预期目标。此外，环保类项目虽占比不高但其重要性不容忽视，未来应继续加大投入力度，促进可持续发展。</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