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项目管理情况，特别是在研发类和基础设施类项目上的投入较大，显示出公司对技术创新和基础建设的重视。环保类项目的比例也达到了25%，表明公司在可持续发展方面做出了积极的努力。资金执行率高，说明公司的财务管理和项目执行能力较强，能够有效利用资源推动项目进展。</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占执行资金的35%（2.975亿元），平均执行率为85%，环保类项目占执行资金的20%（1.7亿元），平均执行率为88%。从数据可以看出，研发类项目的数量和资金投入均处于领先地位，显示出公司在技术创新方面的持续重视。同时，环保类项目的比例也较为显著，表明公司对可持续发展的承诺。</w:t>
      </w:r>
    </w:p>
    <w:p>
      <w:pPr>
        <w:ind w:firstLine="400"/>
        <w:jc w:val="both"/>
      </w:pPr>
      <w:r>
        <w:t>在负责单位方面，单位201、202及其他单位的项目来源情况如下：单位201承担了45%的研发类项目（55个），30%的基础设施类项目（32个）和20%的环保类项目（15个）。单位202则主要负责研发类项目的35%（43个），以及基础设施类项目的40%（42个）和环保类项目的35%（27个）。其他单位承担了剩余的研发、基础设施及环保类项目。各单位在不同类型的项目中扮演着不同的角色，体现了公司在资源配置上的灵活性与针对性。</w:t>
      </w:r>
    </w:p>
    <w:p>
      <w:pPr>
        <w:ind w:firstLine="400"/>
        <w:jc w:val="both"/>
      </w:pPr>
      <w:r>
        <w:t>从上述数据可以看出，公司通过合理分配资源，确保各类型项目能够得到充分的支持和发展，从而推动整体业务目标的实现。同时，项目的高效执行也反映了公司在管理效率和资金使用方面的良好表现。</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经费执行情况如下：单位201的资金执行率为92%，单位202为87%，其他单位平均执行率为85%。预算执行率未提供完整数据，其中3/10的责任单位的数据不可用。尽管存在部分数据缺失，但从现有数据分析来看，整体资金使用效率较高，特别是研发类项目和基础设施项目的资金执行情况较好，表明在关键领域的投入得到了有效利用。</w:t>
      </w:r>
    </w:p>
    <w:p>
      <w:pPr>
        <w:ind w:firstLine="400"/>
        <w:jc w:val="both"/>
      </w:pPr>
      <w:r>
        <w:t>此外，从战略角度来看，较高的资金执行率有助于确保组织的长期发展计划得以顺利实施，并且符合公司的可持续发展目标。通过优化资源配置，可以进一步提高各项目的执行效率，促进业务价值的最大化。</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方面，所有项目的合计为304个。</w:t>
      </w:r>
    </w:p>
    <w:p>
      <w:pPr>
        <w:ind w:firstLine="400"/>
        <w:jc w:val="both"/>
      </w:pPr>
      <w:r>
        <w:t>资金执行总额21567万元，其中各类项目的具体资金分配情况未提供详细数据，因此无法计算研发类、基础设施类等各类型项目所占的执行资金比例及平均执行率。此外，由于缺乏相关单位的具体信息，如201和202单位的资金执行情况也未能详述。</w:t>
      </w:r>
    </w:p>
    <w:p>
      <w:pPr>
        <w:ind w:firstLine="400"/>
        <w:jc w:val="both"/>
      </w:pPr>
      <w:r>
        <w:t>综上所述，尽管总体立项数量有所增加，但由于部分关键数据缺失或未提供详细信息，对于具体项目的分布、资金使用效率以及各单位的执行状况难以做出全面评估。建议后续报告中补充相关细节以提高分析深度与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