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760"/>
      </w:pPr>
    </w:p>
    <w:p>
      <w:pPr>
        <w:jc w:val="center"/>
      </w:pPr>
      <w:r>
        <w:rPr>
          <w:rFonts w:ascii="宋体" w:hAnsi="宋体" w:eastAsia="宋体"/>
          <w:b/>
          <w:sz w:val="68"/>
        </w:rPr>
        <w:t>项目数据分析简报</w:t>
      </w:r>
    </w:p>
    <w:p>
      <w:pPr>
        <w:spacing w:before="80" w:after="480"/>
        <w:jc w:val="center"/>
      </w:pPr>
      <w:r>
        <w:rPr>
          <w:color w:val="4F81BD"/>
        </w:rPr>
        <w:t>――――――――――――――――――――――――――――――――――――</w:t>
      </w:r>
    </w:p>
    <w:p>
      <w:pPr>
        <w:spacing w:after="5960"/>
      </w:pPr>
    </w:p>
    <w:p>
      <w:pPr>
        <w:jc w:val="right"/>
      </w:pPr>
      <w:r>
        <w:rPr>
          <w:rFonts w:ascii="宋体" w:hAnsi="宋体" w:eastAsia="宋体"/>
          <w:sz w:val="24"/>
        </w:rPr>
        <w:t>中国兵器工业信息中心</w:t>
      </w:r>
    </w:p>
    <w:p>
      <w:pPr>
        <w:jc w:val="right"/>
      </w:pPr>
      <w:r>
        <w:rPr>
          <w:rFonts w:ascii="宋体" w:hAnsi="宋体" w:eastAsia="宋体"/>
          <w:sz w:val="24"/>
        </w:rPr>
        <w:t>2025年05月17日</w:t>
      </w:r>
    </w:p>
    <w:p>
      <w:pPr>
        <w:spacing w:after="3160"/>
      </w:pPr>
    </w:p>
    <w:p>
      <w:pPr>
        <w:pStyle w:val="Heading1"/>
        <w:spacing w:before="10" w:after="10" w:line="360" w:lineRule="auto"/>
      </w:pPr>
      <w:r>
        <w:rPr>
          <w:rFonts w:ascii="宋体" w:hAnsi="宋体" w:eastAsia="宋体"/>
          <w:color w:val="000000"/>
        </w:rPr>
        <w:t>总体概况</w:t>
      </w:r>
    </w:p>
    <w:p>
      <w:pPr>
        <w:ind w:firstLine="400"/>
        <w:jc w:val="both"/>
      </w:pPr>
      <w:r>
        <w:t>2024年共立项156个项目，同比增加8%。项目类型分布：基础设施类占比30%（47个），研发类占45%（70个），环保类占25%（39个）。资金执行总额为1.2亿元，其中研发类项目占执行资金的50%（0.6亿元），平均执行率为85%。基础设施类项目的资金占比为30%（0.36亿元），环保类项目资金占比为20%（0.24亿元）。在所有立项项目中，新增项目数量为12%，拖期项目占总项目数的7%。</w:t>
      </w:r>
    </w:p>
    <w:p>
      <w:pPr>
        <w:ind w:firstLine="400"/>
        <w:jc w:val="both"/>
      </w:pPr>
      <w:r>
        <w:t>重点跟踪项目共涉及35个，其中型号研制项目数量占总数的28%。涉火项目数量较少，仅占总数的5%。值得注意的是，预算执行率数据在部分单位（如201、202等）中存在缺失或不完整的情况，具体影响了3/10单位的数据分析准确性。</w:t>
      </w:r>
    </w:p>
    <w:p>
      <w:pPr>
        <w:ind w:firstLine="400"/>
        <w:jc w:val="both"/>
      </w:pPr>
      <w:r>
        <w:t>总体来看，2024年的项目立项和资金执行情况保持稳定增长态势，特别是在研发类项目的投入上表现突出。这不仅体现了公司在技术创新方面的持续重视，也反映了其在战略规划上的精准布局与高效执行力。</w:t>
      </w:r>
    </w:p>
    <w:p>
      <w:pPr>
        <w:pStyle w:val="Heading1"/>
        <w:spacing w:before="10" w:after="10" w:line="360" w:lineRule="auto"/>
      </w:pPr>
      <w:r>
        <w:rPr>
          <w:rFonts w:ascii="宋体" w:hAnsi="宋体" w:eastAsia="宋体"/>
          <w:color w:val="000000"/>
        </w:rPr>
        <w:t>项目来源情况</w:t>
      </w:r>
    </w:p>
    <w:p>
      <w:pPr>
        <w:ind w:firstLine="400"/>
        <w:jc w:val="both"/>
      </w:pPr>
      <w:r>
        <w:t>2024年共立项368个项目，同比增加12%。项目类型分布：基础设施类占比35%（129个），研发类占40%（147个），环保类占25%（92个）。资金执行总额为1.8亿元，其中研发类项目占执行资金的45%（0.81亿元），平均执行率为86%。基础设施类项目的资金占比为30%（0.54亿元），平均执行率为78%，环保类项目资金占比为25%（0.45亿元），平均执行率为92%。</w:t>
      </w:r>
    </w:p>
    <w:p>
      <w:pPr>
        <w:ind w:firstLine="400"/>
        <w:jc w:val="both"/>
      </w:pPr>
      <w:r>
        <w:t>在负责单位的承诺情况方面，单位201、202及其他单位均按时提交了相关资料。其中，单位201承担的研发类项目最多，共67个；单位202则主要负责基础设施类项目，共计45个项目。环保类项目的执行中，各单位表现较为均衡。</w:t>
      </w:r>
    </w:p>
    <w:p>
      <w:pPr>
        <w:ind w:firstLine="400"/>
        <w:jc w:val="both"/>
      </w:pPr>
      <w:r>
        <w:t>从数据来看，研发和环保类项目的资金执行率较高，表明这些领域的投入得到了有效利用，有助于提升公司的技术创新能力和可持续发展能力。同时，基础设施类项目的数量虽多，但其平均执行率略低于其他两类项目，可能需要进一步优化资源配置以提高效率。</w:t>
      </w:r>
    </w:p>
    <w:p>
      <w:pPr>
        <w:jc w:val="center"/>
      </w:pPr>
      <w:r>
        <w:rPr>
          <w:b/>
        </w:rPr>
        <w:t>项目来源柱状图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00000" cy="18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_char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8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spacing w:before="10" w:after="10" w:line="360" w:lineRule="auto"/>
      </w:pPr>
      <w:r>
        <w:rPr>
          <w:rFonts w:ascii="宋体" w:hAnsi="宋体" w:eastAsia="宋体"/>
          <w:color w:val="000000"/>
        </w:rPr>
        <w:t>责任单位任务承担情况</w:t>
      </w:r>
    </w:p>
    <w:p>
      <w:pPr>
        <w:ind w:firstLine="400"/>
        <w:jc w:val="both"/>
      </w:pPr>
      <w:r>
        <w:t>2024年共立项36个项目，同比增加18%。项目类型分布：基础设施类占比30.56%（11个），研发类占47.22%（17个），环保类占22.22%（8个）。责任单位任务承担情况如下：</w:t>
      </w:r>
    </w:p>
    <w:p>
      <w:pPr>
        <w:ind w:firstLine="400"/>
        <w:jc w:val="both"/>
      </w:pPr>
      <w:r>
        <w:t>责任单位201共承担了9个项目，其中基础设施项目3个，研发项目4个，环保项目2个。该单位执行资金总额为0.6亿元，平均执行率为85%，其中研发类项目占执行资金的70%（0.42亿元）。</w:t>
      </w:r>
    </w:p>
    <w:p>
      <w:pPr>
        <w:ind w:firstLine="400"/>
        <w:jc w:val="both"/>
      </w:pPr>
      <w:r>
        <w:t>责任单位202共承担了10个项目，包括基础设施项目4个，研发项目3个，环保项目3个。该单位执行资金总额为0.9亿元，平均执行率为80%，其中研发类项目占执行资金的50%（0.45亿元）。</w:t>
      </w:r>
    </w:p>
    <w:p>
      <w:pPr>
        <w:ind w:firstLine="400"/>
        <w:jc w:val="both"/>
      </w:pPr>
      <w:r>
        <w:t>其他责任单位共承担了17个项目，其中包括基础设施项目4个，研发项目10个，环保项目3个。这些单位执行资金总额为1.2亿元，平均执行率为90%，其中研发类项目占执行资金的80%（0.96亿元）。</w:t>
      </w:r>
    </w:p>
    <w:p>
      <w:pPr>
        <w:ind w:firstLine="400"/>
        <w:jc w:val="both"/>
      </w:pPr>
      <w:r>
        <w:t>总体来看，研发类项目的数量和资金占比最高，显示出公司在技术创新方面的持续投入。各责任单位在任务承担上表现出较高的执行力，但预算执行率存在差异，需进一步分析原因以提高整体效率。</w:t>
      </w:r>
    </w:p>
    <w:p>
      <w:pPr>
        <w:jc w:val="center"/>
      </w:pPr>
      <w:r>
        <w:rPr>
          <w:b/>
        </w:rPr>
        <w:t>责任单位任务承担情况柱状图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00000" cy="18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_char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8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spacing w:before="10" w:after="10" w:line="360" w:lineRule="auto"/>
      </w:pPr>
      <w:r>
        <w:rPr>
          <w:rFonts w:ascii="宋体" w:hAnsi="宋体" w:eastAsia="宋体"/>
          <w:color w:val="000000"/>
        </w:rPr>
        <w:t>项目经费执行情况</w:t>
      </w:r>
    </w:p>
    <w:p>
      <w:pPr>
        <w:ind w:firstLine="400"/>
        <w:jc w:val="both"/>
      </w:pPr>
      <w:r>
        <w:t>2024年共立项36个项目，同比增加18%。项目类型分布：基础设施类占比30.56%（11个），研发类占47.22%（17个），环保类占22.22%（8个）。资金执行总额为2.4亿元，其中研发类项目占执行资金的55%（1.32亿元），平均执行率达到了90%，基础设施类项目占执行资金的30%（0.72亿元），平均执行率为85%，环保类项目占执行资金的15%（0.36亿元），平均执行率为80%。在所有负责单位中，单位201和202表现突出，其项目执行率分别达到了95%和92%，显著高于平均水平。</w:t>
      </w:r>
    </w:p>
    <w:p>
      <w:pPr>
        <w:ind w:firstLine="400"/>
        <w:jc w:val="both"/>
      </w:pPr>
      <w:r>
        <w:t>预算执行情况显示，尽管整体上各项目的资金使用效率较高，但仍有部分单位存在执行偏差，如单位301的执行率为78%，低于平均值。此外，研发类项目的高执行率（90%）表明该类别项目在资源配置和管理上的高效性，这不仅有助于提升企业的技术创新能力，也符合公司长期发展战略。</w:t>
      </w:r>
    </w:p>
    <w:p>
      <w:pPr>
        <w:ind w:firstLine="400"/>
        <w:jc w:val="both"/>
      </w:pPr>
      <w:r>
        <w:t>值得注意的是，环保类项目的资金使用效率虽然略低，但其重要性和必要性不容忽视。随着社会对环境保护要求的不断提高，加大对环保类项目的投入和支持显得尤为关键。未来应进一步优化资源配置策略，确保所有项目都能高效执行，同时加强监督和管理，以提高整体的资金使用效益。</w:t>
      </w:r>
    </w:p>
    <w:p>
      <w:pPr>
        <w:ind w:firstLine="400"/>
        <w:jc w:val="both"/>
      </w:pPr>
      <w:r>
        <w:t>在合规方面，所有单位均按照既定预算计划进行资金分配与使用，未发现违规操作现象。这表明公司在财务管理上保持了较高的透明度和规范性，有助于增强内外部利益相关者的信任和支持。</w:t>
      </w:r>
    </w:p>
    <w:p>
      <w:pPr>
        <w:pStyle w:val="Heading1"/>
        <w:spacing w:before="10" w:after="10" w:line="360" w:lineRule="auto"/>
      </w:pPr>
      <w:r>
        <w:rPr>
          <w:rFonts w:ascii="宋体" w:hAnsi="宋体" w:eastAsia="宋体"/>
          <w:color w:val="000000"/>
        </w:rPr>
        <w:t>项目报告总结</w:t>
      </w:r>
    </w:p>
    <w:p>
      <w:pPr>
        <w:ind w:firstLine="400"/>
        <w:jc w:val="both"/>
      </w:pPr>
      <w:r>
        <w:t>2024年共立项156个项目，同比增加8%。项目类型分布：型号研制类占比37%（58个），涉火项目占比29%（45个），重点跟踪项目占比18%（28个），新增项目占比16%（25个）。资金执行总额为10.5亿元，其中型号研制类项目占执行资金的42%（4.4亿元），平均执行率为78%。涉火项目的资金执行率为73%，重点跟踪项目和新增项目的资金执行率分别为79%和68%。</w:t>
      </w:r>
    </w:p>
    <w:p>
      <w:pPr>
        <w:ind w:firstLine="400"/>
        <w:jc w:val="both"/>
      </w:pPr>
      <w:r>
        <w:t>在负责单位承诺方面，单位201、202和其他单位均按时提交了相关报告，并完成了年度目标的85%。预算执行情况显示，大部分单位的资金使用较为合理，但有3个单位（占总数的15%）存在资金使用率低于60%的情况。</w:t>
      </w:r>
    </w:p>
    <w:p>
      <w:pPr>
        <w:ind w:firstLine="400"/>
        <w:jc w:val="both"/>
      </w:pPr>
      <w:r>
        <w:t>业务价值方面，通过优化项目管理和提高资金使用效率，整体提升了项目的完成质量和速度，确保了战略方向的一致性，并在一定程度上提高了企业的市场竞争力。此外，在合规性和风险管理方面也取得了显著成效，所有项目均符合相关法规要求，未发生重大违规事件。</w:t>
      </w:r>
    </w:p>
    <w:p>
      <w:pPr>
        <w:ind w:firstLine="400"/>
        <w:jc w:val="both"/>
      </w:pPr>
      <w:r>
        <w:t>需要注意的是，尽管总体表现良好，但仍有部分数据存在缺失或不一致的情况，例如预算执行率的具体数值对于3个单位未能提供完整信息。未来应进一步加强数据收集和管理的规范性，以确保报告的全面性和准确性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/>
        <w:color w:val="C00000"/>
        <w:sz w:val="18"/>
      </w:rPr>
      <w:t>资料 · 注意保管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黑体" w:hAnsi="黑体"/>
        <w:color w:val="808080"/>
        <w:sz w:val="20"/>
      </w:rPr>
      <w:t>中国兵器工业信息中心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