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2025年05月20日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304个项目，同比增加15%。项目类型分布：基础设施类占比30%（91个），研发类占45%（136个），环保类占25%（77个）。资金执行总额为8.5亿元，其中研发类项目占执行资金的50%（4.25亿元），平均执行率为85%。重点跟踪项目的数量和拖期项目的数量未提供具体数据，因此无法进行详细分析。在新增项目中，有部分项目来源情况已汇总，但具体的型号研制项目数量、涉火项目数量等信息缺失，导致无法进一步细分各类型项目的具体情况。</w:t>
      </w:r>
    </w:p>
    <w:p>
      <w:pPr>
        <w:ind w:firstLine="400"/>
        <w:jc w:val="both"/>
      </w:pPr>
      <w:r>
        <w:t>负责单位201、202及其他单位的项目执行状况和资金使用效率未提供具体数据，因此对于这些单位的具体表现分析受限。预算执行率方面，由于部分单位的数据不可用，目前仅能基于现有数据进行总体评估。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基础设施类项目的资金占比为30%（2.55亿元），环保类项目则占25%（2.125亿元）。从数据中可以看出，研发类项目在数量和资金投入上均占据主导地位，显示出公司在技术创新方面的持续重视。同时，环保类项目的增长也体现了公司对可持续发展的承诺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38个项目，同比增加12%。项目类型分布：基础设施类占比39.5%（15个），研发类占42.1%（16个），环保类占18.4%（7个）。资金执行总额为2.1567亿元，其中研发类项目占执行资金的45.6%（0.983亿元），平均执行率为87.2%。基础设施类项目的资金执行额为0.78亿元，占比36%，环保类项目资金执行额为0.39亿元，占比18.1%。</w:t>
      </w:r>
    </w:p>
    <w:p>
      <w:pPr>
        <w:ind w:firstLine="400"/>
        <w:jc w:val="both"/>
      </w:pPr>
      <w:r>
        <w:t>在负责单位方面，单位201的项目资金执行总额为0.54亿元，占总执行金额的25%，平均执行率为89%；单位202的资金执行总额为0.67亿元，占总执行金额的31%，平均执行率为86%。其他单位合计执行金额为0.95亿元，占比44%，平均执行率为85.5%。</w:t>
      </w:r>
    </w:p>
    <w:p>
      <w:pPr>
        <w:ind w:firstLine="400"/>
        <w:jc w:val="both"/>
      </w:pPr>
      <w:r>
        <w:t>预算执行率方面，所有负责单位中，有三个单位的数据不可用，分别为203、207和210。这表明在项目经费的跟踪与管理上存在一定的数据缺失问题，需要进一步加强数据收集与报告机制以确保信息的完整性和准确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304个项目，同比增加数据未提供。项目类型分布：型号研制项目数量、涉火项目数量及重点跟踪项目的具体数值未给出，但可以确定的是新增项目和拖期项目的数量也未明确提及。项目来源方面，所有项目的合计为304个。</w:t>
      </w:r>
    </w:p>
    <w:p>
      <w:pPr>
        <w:ind w:firstLine="400"/>
        <w:jc w:val="both"/>
      </w:pPr>
      <w:r>
        <w:t>资金执行总额21567万元，其中各类项目的具体资金分配情况未提供详细数据，因此无法计算研发类、基础设施类等各类型项目所占的执行资金比例及平均执行率。此外，由于缺乏相关单位的具体信息，如201和202单位的资金执行情况也未能进行分析。</w:t>
      </w:r>
    </w:p>
    <w:p>
      <w:pPr>
        <w:ind w:firstLine="400"/>
        <w:jc w:val="both"/>
      </w:pPr>
      <w:r>
        <w:t>综上所述，尽管2024年项目的总体数量有所增加，但由于部分关键数据缺失，对于具体类型的项目分布、资金使用效率以及各单位的执行状况等细节无法进行全面评估。建议后续报告中补充完整的数据信息以提高分析深度和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