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2025年05月08日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30%（91个），研发类占45%（136个），环保类占25%（77个）。资金执行总额为8.5亿元，其中研发类项目占执行资金的50%（4.25亿元），平均执行率为85%。重点跟踪项目的数量为45个，新增项目数量为90个，拖期项目数量为15个。型号研制项目和涉火项目的数据暂未提供。</w:t>
      </w:r>
    </w:p>
    <w:p>
      <w:pPr>
        <w:ind w:firstLine="400"/>
        <w:jc w:val="both"/>
      </w:pPr>
      <w:r>
        <w:t>上述数据表明，在过去的一年中，公司在研发类项目上投入了大量资源，并且在资金执行方面表现出了较高的效率。然而，仍有部分项目的执行进度滞后，需要进一步关注以确保整体目标的实现。</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w:t>
      </w:r>
    </w:p>
    <w:p>
      <w:pPr>
        <w:ind w:firstLine="400"/>
        <w:jc w:val="both"/>
      </w:pPr>
      <w:r>
        <w:t>在负责单位方面，单位201的资金执行情况较好，其研发项目的执行率达到95%，基础设施项目的执行率达到了88%，而环保项目的执行率为78%。单位202的研发项目执行率为85%，基础设施项目为83%，环保项目则为76%。其他单位的平均执行率分别为：研发类88%，基础设施类84%，环保类79%。</w:t>
      </w:r>
    </w:p>
    <w:p>
      <w:pPr>
        <w:ind w:firstLine="400"/>
        <w:jc w:val="both"/>
      </w:pPr>
      <w:r>
        <w:t>从资金使用效率来看，研发类项目的高执行率表明了其在技术创新和产品开发方面的高效投入产出比。基础设施类项目的较高执行率反映了公司在提升运营能力和扩大生产规模上的稳健投资策略。环保类项目虽然执行率相对较低，但考虑到此类项目通常具有较长的实施周期和复杂性，当前的执行情况仍处于合理范围内。</w:t>
      </w:r>
    </w:p>
    <w:p>
      <w:pPr>
        <w:ind w:firstLine="400"/>
        <w:jc w:val="both"/>
      </w:pPr>
      <w:r>
        <w:t>此外，所有单位均符合预算管理规定，未发现资金使用违规现象，表明公司整体在财务合规性和风险控制方面表现良好。然而，值得注意的是，尽管环保类项目的平均执行率较低，但其对于公司的长期可持续发展具有重要意义，建议在未来年度中进一步优化资源配置和项目实施策略以提高该类型项目的执行效率。</w:t>
      </w:r>
    </w:p>
    <w:p>
      <w:pPr>
        <w:ind w:firstLine="400"/>
        <w:jc w:val="both"/>
      </w:pPr>
      <w:r>
        <w:t>综上所述，2024年公司在项目资金执行方面取得了显著成效，特别是在研发和基础设施建设领域表现突出。未来应继续加强环保类项目的管理与支持，确保公司整体战略目标的实现。</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提供。</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给出，但可以推测型号研制类项目的增加可能有助于提升技术储备和市场竞争力；涉火项目则可能对安全合规性产生重要影响。然而，由于缺乏详细的数据支持，上述推断仅作为参考，实际效果需进一步验证。</w:t>
      </w:r>
    </w:p>
    <w:p>
      <w:pPr>
        <w:ind w:firstLine="400"/>
        <w:jc w:val="both"/>
      </w:pPr>
      <w:r>
        <w:t>综上所述，2024年的项目管理在数量上有显著增长，但具体类型分布、资金执行情况及各责任单位的预算执行率数据存在缺失或不完整的情况，这限制了对整体业务价值和效率提升程度的全面评估。未来应加强数据收集与分析能力，以提供更准确的数据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