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负责单位承诺方面，单位201和202分别承担了其中的40个和30个项目，其余由其他单位分担。重点跟踪项目的数量为25个，新增项目数量达到36个，而拖期项目数量则有8个。项目来源情况显示，内部发起的项目占总数的70%，外部合作项目占比30%。</w:t>
      </w:r>
    </w:p>
    <w:p>
      <w:pPr>
        <w:ind w:firstLine="400"/>
        <w:jc w:val="both"/>
      </w:pPr>
      <w:r>
        <w:t>预算执行方面，尽管整体执行率较高，但值得注意的是，预算执行率数据对于10个单位中的3个单位不可用，这可能影响了全面评估项目的资金使用效率。</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从数据中可以看出，研发类项目在数量和资金投入上均占据主导地位，显示出公司在技术创新方面的持续重视。同时，环保类项目的比例也较为显著，表明公司对可持续发展的承诺。基础设施类项目虽然占比略低，但其稳定的执行率反映了公司在基础建设上的高效管理能力。</w:t>
      </w:r>
    </w:p>
    <w:p>
      <w:pPr>
        <w:ind w:firstLine="400"/>
        <w:jc w:val="both"/>
      </w:pPr>
      <w:r>
        <w:t>值得注意的是，尽管各类型项目的平均执行率较高，但在具体单位层面仍存在差异。例如，201单位的研发项目执行率为90%，而202单位的环保项目执行率为85%。这些数据有助于进一步分析各单位在不同领域的工作效率和资源分配情况。</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从数据可以看出，研发类项目的资金使用效率最高，且在所有项目中占比最大，表明公司在研发投入上持续加大，符合公司长期发展战略。</w:t>
      </w:r>
    </w:p>
    <w:p>
      <w:pPr>
        <w:ind w:firstLine="400"/>
        <w:jc w:val="both"/>
      </w:pPr>
      <w:r>
        <w:t>对于负责单位201、202及其他单位的资金执行情况，具体如下：单位201的预算执行率为95%，共涉及7个项目；单位202的预算执行率为88%，共涉及6个项目。其他单位平均预算执行率为83%（不包括数据缺失的3个单位）。这表明各单位在资金使用上总体较为高效，但仍有部分单位存在改进空间。</w:t>
      </w:r>
    </w:p>
    <w:p>
      <w:pPr>
        <w:ind w:firstLine="400"/>
        <w:jc w:val="both"/>
      </w:pPr>
      <w:r>
        <w:t>此外，值得注意的是，在项目经费执行过程中，有三个单位的数据未能及时更新或提供完整信息，导致无法准确评估其预算执行情况。建议相关单位加强内部管理，确保数据的及时性和准确性，以支持更有效的决策制定和资源分配。</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基础设施类占29%（45个），环保类占18%（28个），其余为其他类别。资金执行总额达到1.2亿元，其中型号研制类项目占执行资金的40%（0.48亿元），平均执行率为76%，研发类项目的平均执行率略低，为73%。</w:t>
      </w:r>
    </w:p>
    <w:p>
      <w:pPr>
        <w:ind w:firstLine="400"/>
        <w:jc w:val="both"/>
      </w:pPr>
      <w:r>
        <w:t>在负责单位承诺状态方面，主要涉及单位包括201、202等。201单位承担了50个项目，其中正在执行的数量占其总数的90%，重点跟踪项目数量占比10%；202单位则承担了40个项目，正在执行的比例为85%，拖期项目比例为7%。</w:t>
      </w:r>
    </w:p>
    <w:p>
      <w:pPr>
        <w:ind w:firstLine="400"/>
        <w:jc w:val="both"/>
      </w:pPr>
      <w:r>
        <w:t>报告总结：2024年度项目管理在数量和资金执行方面均有所增长，特别是型号研制类项目的增加显著提升了整体研发能力。然而，部分负责单位的项目执行率存在差异，需进一步优化资源配置与管理效率以确保所有项目按时完成并达到预期目标。此外，环保类项目虽占比不高但其重要性不容忽视，未来应继续加大投入力度，促进可持续发展。</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