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2025年05月17日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20%（0.24亿元）。</w:t>
      </w:r>
    </w:p>
    <w:p>
      <w:pPr>
        <w:ind w:firstLine="400"/>
        <w:jc w:val="both"/>
      </w:pPr>
      <w:r>
        <w:t>在负责单位承诺方面，单位201和202分别承担了其中的40个和30个项目，其余由其他单位分担。重点跟踪项目的数量为25个，新增项目数量达到36个，而拖期项目数量则有8个。项目来源情况显示，内部发起的项目占总数的70%，外部合作项目占比30%。</w:t>
      </w:r>
    </w:p>
    <w:p>
      <w:pPr>
        <w:ind w:firstLine="400"/>
        <w:jc w:val="both"/>
      </w:pPr>
      <w:r>
        <w:t>预算执行方面，尽管整体执行率较高，但仍有部分单位的数据缺失或不完整，例如预算执行率数据在10个单位中仅可获取7个单位的信息。</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在项目来源方面，研发类和基础设施类项目数量较多，表明公司在技术创新和基础建设方面的持续投入。环保类项目的比例虽然较低，但其高执行率显示了公司对可持续发展的重视程度。从资金分配来看，研发类项目获得了最大的支持，这与公司的长期发展战略相一致。</w:t>
      </w:r>
    </w:p>
    <w:p>
      <w:pPr>
        <w:ind w:firstLine="400"/>
        <w:jc w:val="both"/>
      </w:pPr>
      <w:r>
        <w:t>此外，201单位负责的项目中，有35%为研发类，占比最高；而202单位则主要承担基础设施建设任务，占其总项目的45%，显示出各单位在不同领域内的专业分工和责任担当。</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在所有负责单位中，单位201的资金执行情况最佳，其研发项目的执行率达到95%，而单位202则在基础设施项目上表现突出，执行率达到了87%。</w:t>
      </w:r>
    </w:p>
    <w:p>
      <w:pPr>
        <w:ind w:firstLine="400"/>
        <w:jc w:val="both"/>
      </w:pPr>
      <w:r>
        <w:t>值得注意的是，尽管整体资金执行情况良好，但仍有3个单位的预算执行率数据不可用。这可能影响到对整个组织资金使用效率的全面评估。此外，研发类项目的高执行率表明该领域得到了充分的资金支持和有效的管理，有助于推动技术创新和产品开发，从而增强企业的市场竞争力。</w:t>
      </w:r>
    </w:p>
    <w:p>
      <w:pPr>
        <w:ind w:firstLine="400"/>
        <w:jc w:val="both"/>
      </w:pPr>
      <w:r>
        <w:t>从战略角度来看，环保类项目虽然占比不高，但其执行率较高，显示了公司在可持续发展方面的投入与重视程度。这不仅符合当前社会对绿色发展的要求，也有助于提升公司的品牌形象和社会责任感。</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涉火项目占比29%（45个），重点跟踪项目占比18%（28个），新增项目占比16%（25个）。资金执行总额为10.5亿元，其中型号研制类项目占执行资金的42%（4.4亿元），平均执行率为78%。涉火项目的资金执行率为69%，重点跟踪项目和新增项目的资金执行率分别为83%和75%。</w:t>
      </w:r>
    </w:p>
    <w:p>
      <w:pPr>
        <w:ind w:firstLine="400"/>
        <w:jc w:val="both"/>
      </w:pPr>
      <w:r>
        <w:t>在负责单位承诺方面，单位201、202和其他单位均按时提交了相关报告，并完成了年度目标的85%。预算执行情况显示，大部分单位的资金使用较为合理，但有三个单位（占总数的3/10）的预算执行率数据不可用，这可能影响整体评估。</w:t>
      </w:r>
    </w:p>
    <w:p>
      <w:pPr>
        <w:ind w:firstLine="400"/>
        <w:jc w:val="both"/>
      </w:pPr>
      <w:r>
        <w:t>业务价值方面，通过优化项目管理和提高资金使用效率，本年度在提升研发能力和增强企业竞争力方面取得了显著成效。同时，项目的实施也促进了企业的合规性和战略目标的一致性，为未来的可持续发展奠定了坚实基础。</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