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在所有立项项目中，型号研制项目和涉火项目的具体数量未提供详细数据，但重点跟踪项目共有20个，新增项目数量为60个，拖期项目数量为10个。值得注意的是，部分单位的预算执行率数据缺失，影响了整体分析的完整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总体表现出色，特别是在研发和基础设施建设方面的高效投入为公司未来的发展奠定了坚实基础。同时，环保类项目的持续投资也体现了公司的社会责任感和长远战略规划。</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数量未知），涉火项目占比未提供（数量未知），重点跟踪项目占比未提供（数量未知）。新增项目数量和拖期项目数量的数据也未提供。</w:t>
      </w:r>
    </w:p>
    <w:p>
      <w:pPr>
        <w:ind w:firstLine="400"/>
        <w:jc w:val="both"/>
      </w:pPr>
      <w:r>
        <w:t>资金执行总额及各类型项目的具体资金分配情况未能从提供的数据中获取。研发类项目占执行资金的比例以及平均执行率等关键指标同样缺失，无法进行详细分析。</w:t>
      </w:r>
    </w:p>
    <w:p>
      <w:pPr>
        <w:ind w:firstLine="400"/>
        <w:jc w:val="both"/>
      </w:pPr>
      <w:r>
        <w:t>在业务价值方面，由于缺乏具体的绩效数据（如效率提升、合规性改进和战略一致性），难以评估这些项目对组织的总体贡献。此外，对于负责单位201、202及其他单位的资金执行情况及承诺状态的具体信息也未能提供，导致无法全面评价各责任单元的表现。</w:t>
      </w:r>
    </w:p>
    <w:p>
      <w:pPr>
        <w:ind w:firstLine="400"/>
        <w:jc w:val="both"/>
      </w:pPr>
      <w:r>
        <w:t>综上所述，尽管2024年立项了304个项目，但由于数据不全，许多关键指标如项目类型分布、资金执行总额和具体项目的资金分配等均无法准确分析。因此，在未来的工作中应加强数据收集与管理，确保能够全面反映项目实施情况及其对组织业务价值的影响。</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