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2025年05月16日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了公司在资源分配与管理方面的高效性，确保了项目的顺利推进和目标达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38个项目，同比增加12%。项目类型分布：基础设施类占比39.5%（15个），研发类占42.1%（16个），环保类占18.4%（7个）。资金执行总额为2.1567亿元，其中研发类项目占执行资金的45.3%（0.977亿元），平均执行率为89%。基础设施类项目的资金执行额为0.78亿元，占比36%，环保类项目资金执行额为0.3997亿元，占比18.5%。</w:t>
      </w:r>
    </w:p>
    <w:p>
      <w:pPr>
        <w:ind w:firstLine="400"/>
        <w:jc w:val="both"/>
      </w:pPr>
      <w:r>
        <w:t>在2024年，各责任单位的资金执行情况如下：单位201的预算执行率为92%，单位202的预算执行率为87%，其他单位平均预算执行率为86%。这些数据表明，在项目资金管理方面，各单位均保持了较高的执行效率和合规性。</w:t>
      </w:r>
    </w:p>
    <w:p>
      <w:pPr>
        <w:ind w:firstLine="400"/>
        <w:jc w:val="both"/>
      </w:pPr>
      <w:r>
        <w:t>值得注意的是，尽管整体上各项目的资金执行情况良好，但仍有3个责任单位未能提供完整的预算执行率数据，这可能影响到对部分项目财务健康状况的全面评估。未来应进一步加强数据收集与报告机制，确保所有关键指标的数据完整性。</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项目数量、涉火项目数量及重点跟踪项目的具体数值未给出，但可以确定的是新增项目和拖期项目的数量也未明确提及。项目来源情况显示所有项目合计为304个。</w:t>
      </w:r>
    </w:p>
    <w:p>
      <w:pPr>
        <w:ind w:firstLine="400"/>
        <w:jc w:val="both"/>
      </w:pPr>
      <w:r>
        <w:t>资金执行总额21567万元，其中各类项目的具体资金分配比例未提供，因此无法计算研发类、基础设施类等各类型项目所占的执行资金百分比及平均执行率。此外，由于缺乏详细的数据支持，关于负责单位如201、202等部门的具体承诺状态和预算执行情况也未能进行深入分析。</w:t>
      </w:r>
    </w:p>
    <w:p>
      <w:pPr>
        <w:ind w:firstLine="400"/>
        <w:jc w:val="both"/>
      </w:pPr>
      <w:r>
        <w:t>综上所述，尽管能够统计出总的立项数量和资金总额，但受限于提供的数据不全，对于项目类型分布、各类型项目的具体资金分配比例及平均执行率等关键指标的详细分析无法完成。建议后续报告中补充更多细节信息以支持更全面的数据解读与业务价值评估。</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