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方面，单位201承担了其中的40个项目，单位202承担了35个，其他单位共承担81个项目。从项目来源看，内部发起的项目占比为60%，外部合作项目占比为40%。尽管整体执行情况良好，但预算执行率数据对于3/10的负责单位仍不可用。</w:t>
      </w:r>
    </w:p>
    <w:p>
      <w:pPr>
        <w:ind w:firstLine="400"/>
        <w:jc w:val="both"/>
      </w:pPr>
      <w:r>
        <w:t>总体来看，本年度在研发和环保类项目的投入显著增加，显示出公司在技术创新与可持续发展方面的战略重点。同时，基础设施建设也保持了稳定的投资水平，确保公司的运营基础稳固。</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达到了86%。基础设施类项目的资金占比为30%，即0.54亿元，平均执行率为78%；环保类项目资金占比25%，总计0.45亿元，其平均执行率为90%。</w:t>
      </w:r>
    </w:p>
    <w:p>
      <w:pPr>
        <w:ind w:firstLine="400"/>
        <w:jc w:val="both"/>
      </w:pPr>
      <w:r>
        <w:t>从数据中可以看出，研发类项目在数量和资金分配上均占据主导地位，显示出公司在技术创新方面的持续投入。同时，环保类项目的高执行率表明公司对可持续发展的重视，并且在实际操作中取得了良好的效果。基础设施类项目虽然占比略低，但其稳定的执行率也体现了公司在基础建设上的稳健推进。</w:t>
      </w:r>
    </w:p>
    <w:p>
      <w:pPr>
        <w:ind w:firstLine="400"/>
        <w:jc w:val="both"/>
      </w:pPr>
      <w:r>
        <w:t>此外，值得注意的是，尽管研发和环保类项目数量及资金分配较高，但在具体负责单位的执行情况上存在一定的差异性。例如，201单位在研发项目的执行中表现突出，而202单位则在基础设施建设和环保项目上有较好的成绩。这些数据为公司未来资源调配提供了重要参考依据。</w:t>
      </w:r>
    </w:p>
    <w:p>
      <w:pPr>
        <w:ind w:firstLine="400"/>
        <w:jc w:val="both"/>
      </w:pPr>
      <w:r>
        <w:t>综上所述，2024年的项目来源情况显示了公司在不同领域均衡发展的态势，并且通过具体的数据分析可以更好地指导未来的战略规划和资源配置。</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上表现出较高的积极性和执行力，这有助于推动公司的技术创新与战略目标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的资金执行情况最佳，其研发项目的执行率达到95%，而单位202则在基础设施项目上表现突出，执行率达到了87%。</w:t>
      </w:r>
    </w:p>
    <w:p>
      <w:pPr>
        <w:ind w:firstLine="400"/>
        <w:jc w:val="both"/>
      </w:pPr>
      <w:r>
        <w:t>预算执行方面，整体趋势显示资金使用效率较高，但需注意的是，环保类项目的平均执行率略低于其他两类。这可能与该类别项目实施的复杂性和不确定性有关。此外，尽管研发和基础设施类项目的执行情况良好，但在具体单位层面仍存在差异，如单位203在所有类型项目上的执行率均未达到平均水平。</w:t>
      </w:r>
    </w:p>
    <w:p>
      <w:pPr>
        <w:ind w:firstLine="400"/>
        <w:jc w:val="both"/>
      </w:pPr>
      <w:r>
        <w:t>从战略角度来看，高执行率表明组织能够有效利用资源实现既定目标，这不仅有助于提高运营效率，还能确保合规性。然而，为了进一步提升整体绩效，建议加强对环保类项目的管理和支持，以促进其与公司可持续发展目标的更好对齐。同时，应深入分析各单位在项目执行中的差异原因，并采取针对性措施加以改进。</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显示，尽管部分关键指标如预算执行率在某些单位中数据缺失（例如3/10单位），但整体来看，项目的资金使用效率较高，特别是型号研制类和基础设施类项目。此外，环保类项目虽然数量较少，但在推动企业可持续发展方面发挥了重要作用。未来应进一步优化资源配置，提高所有类型项目的执行效率，并加强对拖期项目的管理力度。</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