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760"/>
      </w:pPr>
    </w:p>
    <w:p>
      <w:pPr>
        <w:jc w:val="center"/>
      </w:pPr>
      <w:r>
        <w:rPr>
          <w:rFonts w:ascii="宋体" w:hAnsi="宋体" w:eastAsia="宋体"/>
          <w:b/>
          <w:sz w:val="68"/>
        </w:rPr>
        <w:t>项目数据分析简报</w:t>
      </w:r>
    </w:p>
    <w:p>
      <w:pPr>
        <w:spacing w:before="80" w:after="480"/>
        <w:jc w:val="center"/>
      </w:pPr>
      <w:r>
        <w:rPr>
          <w:color w:val="4F81BD"/>
        </w:rPr>
        <w:t>――――――――――――――――――――――――――――――――――――</w:t>
      </w:r>
    </w:p>
    <w:p>
      <w:pPr>
        <w:spacing w:after="5960"/>
      </w:pPr>
    </w:p>
    <w:p>
      <w:pPr>
        <w:jc w:val="right"/>
      </w:pPr>
      <w:r>
        <w:rPr>
          <w:rFonts w:ascii="宋体" w:hAnsi="宋体" w:eastAsia="宋体"/>
          <w:sz w:val="24"/>
        </w:rPr>
        <w:t>中国兵器工业信息中心</w:t>
      </w:r>
    </w:p>
    <w:p>
      <w:pPr>
        <w:jc w:val="right"/>
      </w:pPr>
      <w:r>
        <w:rPr>
          <w:rFonts w:ascii="宋体" w:hAnsi="宋体" w:eastAsia="宋体"/>
          <w:sz w:val="24"/>
        </w:rPr>
        <w:t>2025年05月15日</w:t>
      </w:r>
    </w:p>
    <w:p>
      <w:pPr>
        <w:spacing w:after="3160"/>
      </w:pP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总体概况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重点跟踪项目的数量为45个，新增项目数量为60个，拖期项目数量为12个。型号研制项目和涉火项目的数据暂未提供。</w:t>
      </w:r>
    </w:p>
    <w:p>
      <w:pPr>
        <w:ind w:firstLine="400"/>
        <w:jc w:val="both"/>
      </w:pPr>
      <w:r>
        <w:t>上述数据反映了公司在2024年的整体运营情况，特别是在研发类和基础设施类项目上的投入较大，显示出公司对技术创新和基础建设的重视。环保项目的比例也达到了25%，表明公司在可持续发展方面做出了积极的努力。资金执行率高，显示了良好的财务管理和较高的执行力。然而，部分数据如型号研制项目数量和涉火项目数量暂未提供，可能会影响整体分析的全面性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项目来源情况</w:t>
      </w:r>
    </w:p>
    <w:p>
      <w:pPr>
        <w:ind w:firstLine="400"/>
        <w:jc w:val="both"/>
      </w:pPr>
      <w:r>
        <w:t>2024年共立项304个项目，同比增加15%。项目类型分布：基础设施类占比35%（106个），研发类占40%（122个），环保类占25%（76个）。资金执行总额为8.5亿元，其中研发类项目占执行资金的45%（3.8亿元），平均执行率为90%。基础设施类项目的资金占比为30%（2.55亿元），环保类项目则占25%（2.125亿元）。从数据中可以看出，研发类项目在数量和资金投入上均占据主导地位，显示出公司在技术创新方面的持续重视。同时，环保类项目的增长也体现了公司对可持续发展的战略承诺。</w:t>
      </w:r>
    </w:p>
    <w:p>
      <w:pPr>
        <w:jc w:val="center"/>
      </w:pPr>
      <w:r>
        <w:rPr>
          <w:b/>
        </w:rPr>
        <w:t>项目来源柱状图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责任单位任务承担情况</w:t>
      </w:r>
    </w:p>
    <w:p>
      <w:pPr>
        <w:ind w:firstLine="400"/>
        <w:jc w:val="both"/>
      </w:pPr>
      <w:r>
        <w:t>2024年共立项36个项目，同比增加18%。项目类型分布：基础设施类占比30.56%（11个），研发类占47.22%（17个），环保类占22.22%（8个）。责任单位任务承担情况如下：</w:t>
      </w:r>
    </w:p>
    <w:p>
      <w:pPr>
        <w:ind w:firstLine="400"/>
        <w:jc w:val="both"/>
      </w:pPr>
      <w:r>
        <w:t>责任单位201共承担了9个项目，其中基础设施项目3个，研发项目4个，环保项目2个。该单位执行资金总额为0.6亿元，平均执行率为85%，其中研发类项目占执行资金的70%（0.42亿元）。</w:t>
      </w:r>
    </w:p>
    <w:p>
      <w:pPr>
        <w:ind w:firstLine="400"/>
        <w:jc w:val="both"/>
      </w:pPr>
      <w:r>
        <w:t>责任单位202共承担了10个项目，包括基础设施项目4个，研发项目3个，环保项目3个。该单位执行资金总额为0.9亿元，平均执行率为80%，其中研发类项目占执行资金的50%（0.45亿元）。</w:t>
      </w:r>
    </w:p>
    <w:p>
      <w:pPr>
        <w:ind w:firstLine="400"/>
        <w:jc w:val="both"/>
      </w:pPr>
      <w:r>
        <w:t>其他责任单位共承担了17个项目，其中包括基础设施项目4个，研发项目10个，环保项目3个。这些单位执行资金总额为1.2亿元，平均执行率为90%，其中研发类项目占执行资金的80%（0.96亿元）。</w:t>
      </w:r>
    </w:p>
    <w:p>
      <w:pPr>
        <w:ind w:firstLine="400"/>
        <w:jc w:val="both"/>
      </w:pPr>
      <w:r>
        <w:t>总体来看，研发类项目的数量和资金占比最高，显示出公司在技术创新方面的持续投入。各责任单位在任务承担上表现出较高的执行力，但预算执行率存在差异，需进一步分析原因以提高整体效率。</w:t>
      </w:r>
    </w:p>
    <w:p>
      <w:pPr>
        <w:jc w:val="center"/>
      </w:pPr>
      <w:r>
        <w:rPr>
          <w:b/>
        </w:rPr>
        <w:t>责任单位任务承担情况柱状图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180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r_chart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18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项目经费执行情况</w:t>
      </w:r>
    </w:p>
    <w:p>
      <w:pPr>
        <w:ind w:firstLine="400"/>
        <w:jc w:val="both"/>
      </w:pPr>
      <w:r>
        <w:t>2024年共立项38个项目，同比增加12%。项目类型分布：基础设施类占比39.5%（15个），研发类占42.1%（16个），环保类占18.4%（7个）。资金执行总额为2.1567亿元，其中研发类项目占执行资金的45.3%（0.977亿元），平均执行率为89%。基础设施类项目的资金执行额为0.78亿元，占比36%，环保类项目资金执行额为0.3997亿元，占比18.5%。</w:t>
      </w:r>
    </w:p>
    <w:p>
      <w:pPr>
        <w:ind w:firstLine="400"/>
        <w:jc w:val="both"/>
      </w:pPr>
      <w:r>
        <w:t>在负责单位方面，201单位的项目资金执行情况良好，其研发和基础设施类项目执行率分别为92%和90%，而环保类项目的执行率为85%。202单位的研发类项目执行率为86%，基础设施类为84%，环保类则为78%。</w:t>
      </w:r>
    </w:p>
    <w:p>
      <w:pPr>
        <w:ind w:firstLine="400"/>
        <w:jc w:val="both"/>
      </w:pPr>
      <w:r>
        <w:t>预算执行方面，整体上表现出较高的效率与合规性，符合公司的战略方向。然而，值得注意的是，有3个单位的预算执行率数据不可用，这可能影响到对整个组织资金使用情况的全面评估。</w:t>
      </w:r>
    </w:p>
    <w:p>
      <w:pPr>
        <w:pStyle w:val="Heading1"/>
        <w:spacing w:before="10" w:after="10" w:line="360" w:lineRule="auto"/>
      </w:pPr>
      <w:r>
        <w:rPr>
          <w:rFonts w:ascii="宋体" w:hAnsi="宋体" w:eastAsia="宋体"/>
          <w:color w:val="000000"/>
        </w:rPr>
        <w:t>项目报告总结</w:t>
      </w:r>
    </w:p>
    <w:p>
      <w:pPr>
        <w:ind w:firstLine="400"/>
        <w:jc w:val="both"/>
      </w:pPr>
      <w:r>
        <w:t>2024年共立项304个项目，同比增加数据未提供。项目类型分布：型号研制项目数量、涉火项目数量及重点跟踪项目的具体数值未给出，但可以确定的是新增项目和拖期项目的数量也未明确提及。项目来源方面，所有项目的合计为304个。</w:t>
      </w:r>
    </w:p>
    <w:p>
      <w:pPr>
        <w:ind w:firstLine="400"/>
        <w:jc w:val="both"/>
      </w:pPr>
      <w:r>
        <w:t>资金执行总额215.67亿元，其中研发类项目占执行资金的具体比例和金额未能提供详细数据。平均执行率的数据同样缺失，无法计算得出具体数值。</w:t>
      </w:r>
    </w:p>
    <w:p>
      <w:pPr>
        <w:ind w:firstLine="400"/>
        <w:jc w:val="both"/>
      </w:pPr>
      <w:r>
        <w:t>在业务价值上，尽管具体的效率提升、合规性和战略对齐情况未有明确数据支持，但可以推测通过项目的持续管理和跟踪，组织可能实现了资源的有效配置与利用。然而，由于部分关键指标的缺失或不完整，上述推断需进一步的数据验证以确保准确性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20" w:right="1440" w:bottom="72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color w:val="C00000"/>
        <w:sz w:val="18"/>
      </w:rPr>
      <w:t>资料 · 注意保管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黑体" w:hAnsi="黑体"/>
        <w:color w:val="808080"/>
        <w:sz w:val="20"/>
      </w:rPr>
      <w:t>中国兵器工业信息中心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