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2025年05月16日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所有立项项目中，新增项目数量达到100个，同比增加10%，显示出公司在扩大业务规模和探索新领域的积极态势。同时，拖期项目数量为8个，占比5%，表明尽管整体执行情况良好，但仍存在部分项目未能按时完成的情况。重点跟踪的项目共有23个，占总项目的14.7%。</w:t>
      </w:r>
    </w:p>
    <w:p>
      <w:pPr>
        <w:ind w:firstLine="400"/>
        <w:jc w:val="both"/>
      </w:pPr>
      <w:r>
        <w:t>从项目来源看，内部发起的项目占比60%，外部合作项目占比40%，显示出公司在保持自主创新能力的同时，也在积极寻求与外部合作伙伴的合作机会。此外，型号研制项目数量为58个，占研发类项目的82.9%，表明公司对产品型号的研发投入较大。</w:t>
      </w:r>
    </w:p>
    <w:p>
      <w:pPr>
        <w:ind w:firstLine="400"/>
        <w:jc w:val="both"/>
      </w:pPr>
      <w:r>
        <w:t>总体来看，2024年公司的项目管理在规模、类型和资金执行方面均表现出良好的增长态势，但在部分项目的按时完成上仍需进一步加强。</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从数据中可以看出，研发类项目在数量和资金投入上均占据主导地位，显示出公司在技术创新方面的持续重视。同时，环保类项目的比例也较为显著，表明公司对可持续发展的承诺。基础设施类项目虽然占比略低，但其稳定的执行率反映了公司在基础建设上的高效管理能力。</w:t>
      </w:r>
    </w:p>
    <w:p>
      <w:pPr>
        <w:ind w:firstLine="400"/>
        <w:jc w:val="both"/>
      </w:pPr>
      <w:r>
        <w:t>值得注意的是，尽管各类型项目的平均执行率较高，但在具体单位层面仍存在差异。例如，201单位的研发项目执行率为90%，而202单位的环保项目执行率仅为85%。这些数据有助于进一步分析各单位在不同领域的工作效率和资源分配情况。</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90%。基础设施类项目资金执行额为6000万元，占比25%，平均执行率为85%；环保类项目资金执行额为4800万元，占比20%，平均执行率为88%。</w:t>
      </w:r>
    </w:p>
    <w:p>
      <w:pPr>
        <w:ind w:firstLine="400"/>
        <w:jc w:val="both"/>
      </w:pPr>
      <w:r>
        <w:t>在负责单位的承诺方面，单位201和202分别承担了其中的13个和9个项目。单位201的资金执行总额为7600万元，占总执行资金的31.67%，其项目平均执行率为89%；单位202的资金执行总额为5400万元，占比22.5%，其项目平均执行率为87%。</w:t>
      </w:r>
    </w:p>
    <w:p>
      <w:pPr>
        <w:ind w:firstLine="400"/>
        <w:jc w:val="both"/>
      </w:pPr>
      <w:r>
        <w:t>值得注意的是，尽管整体执行率较高，但仍有部分项目的预算执行情况存在差异。例如，环保类项目虽然数量较少，但在资金使用效率上表现突出，显示出较高的战略价值和合规性。此外，研发类项目由于涉及长期投入和技术积累，其高执行率反映了组织在技术创新方面的持续投资和承诺。</w:t>
      </w:r>
    </w:p>
    <w:p>
      <w:pPr>
        <w:ind w:firstLine="400"/>
        <w:jc w:val="both"/>
      </w:pPr>
      <w:r>
        <w:t>本年度的项目经费执行情况表明，在保持高效的资金利用的同时，也实现了对关键业务领域的重点支持，进一步强化了组织的战略方向与市场竞争力。</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基础设施类占29%（45个），环保类占18%（28个），其余为其他类别。资金执行总额达到1.2亿元，其中型号研制类项目占执行资金的40%（0.48亿元），平均执行率为76%，研发类项目的平均执行率略低，为73%。</w:t>
      </w:r>
    </w:p>
    <w:p>
      <w:pPr>
        <w:ind w:firstLine="400"/>
        <w:jc w:val="both"/>
      </w:pPr>
      <w:r>
        <w:t>在负责单位承诺状态方面，主要涉及单位包括201、202等。201单位承担了50个项目，其中正在执行的数量占其总数的90%，重点跟踪项目数量占比10%；202单位则承担了40个项目，正在执行的比例为85%，拖期项目比例为7%。</w:t>
      </w:r>
    </w:p>
    <w:p>
      <w:pPr>
        <w:ind w:firstLine="400"/>
        <w:jc w:val="both"/>
      </w:pPr>
      <w:r>
        <w:t>报告总结：2024年度项目管理在数量和资金使用上均有所增长，特别是型号研制类项目的增加显著提升了整体研发能力。然而，部分负责单位的项目执行率存在差异，需进一步优化资源配置与管理效率以确保所有项目按时完成并达到预期目标。此外，环保类项目虽占比不高但其重要性不容忽视，未来应继续加大投入力度，促进可持续发展。</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