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资金占比为20%（0.24亿元）。在所有立项项目中，新增项目数量为12%，拖期项目占总项目数的7%。</w:t>
      </w:r>
    </w:p>
    <w:p>
      <w:pPr>
        <w:ind w:firstLine="400"/>
        <w:jc w:val="both"/>
      </w:pPr>
      <w:r>
        <w:t>负责单位方面，单位201、202及其他单位分别承担了不同比例的项目。其中，单位201负责35个项目，占比22.4%；单位202负责48个项目，占比30.8%，其他单位共负责73个项目，占比46.8%。</w:t>
      </w:r>
    </w:p>
    <w:p>
      <w:pPr>
        <w:ind w:firstLine="400"/>
        <w:jc w:val="both"/>
      </w:pPr>
      <w:r>
        <w:t>业务价值方面，通过优化资源配置和提高执行效率，整体提升了项目的合规性和战略一致性。特别是在研发类项目中，高效的资源利用促进了技术创新和产品升级，为公司的长期发展奠定了坚实基础。</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项目，显示出该单位在推动技术创新方面的关键作用；而202单位则更多地承担了基础设施建设任务，占比达到40%，体现了其在公司基础架构升级中的重要地位。环保类项目的执行情况良好，反映出公司在环境保护方面的工作得到了有效落实。</w:t>
      </w:r>
    </w:p>
    <w:p>
      <w:pPr>
        <w:ind w:firstLine="400"/>
        <w:jc w:val="both"/>
      </w:pPr>
      <w:r>
        <w:t>综上所述，2024年的项目来源分布合理，资金使用高效，各负责单位均能按照既定目标推进工作，为公司的长远发展奠定了坚实的基础。</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w:t>
      </w:r>
    </w:p>
    <w:p>
      <w:pPr>
        <w:ind w:firstLine="400"/>
        <w:jc w:val="both"/>
      </w:pPr>
      <w:r>
        <w:t>责任单位任务承担情况如下：单位201共承担了12个项目，占比33%，其中包括基础设施类项目4个、研发类项目6个和环保类项目2个。单位202共承担了15个项目，占比41.67%，其中基础设施类项目3个、研发类项目8个和环保类项目4个。其他单位共承担了9个项目，占比25%。</w:t>
      </w:r>
    </w:p>
    <w:p>
      <w:pPr>
        <w:ind w:firstLine="400"/>
        <w:jc w:val="both"/>
      </w:pPr>
      <w:r>
        <w:t>从任务执行情况来看，单位201的平均资金执行率为85%，单位202为92%，其他单位为88%。这表明单位202在项目执行效率上表现较为突出，而单位201和其它单位也保持了较高的执行率，整体符合预期目标。</w:t>
      </w:r>
    </w:p>
    <w:p>
      <w:pPr>
        <w:ind w:firstLine="400"/>
        <w:jc w:val="both"/>
      </w:pPr>
      <w:r>
        <w:t>此外，在合规性和战略一致性方面，所有责任单位均按时提交了相关报告，并且所有项目都与公司的长期发展战略相一致。然而，值得注意的是，预算执行情况在部分单位中存在一定的波动性，例如单位201的环保类项目资金执行率为75%，低于整体平均水平。</w:t>
      </w:r>
    </w:p>
    <w:p>
      <w:pPr>
        <w:ind w:firstLine="400"/>
        <w:jc w:val="both"/>
      </w:pPr>
      <w:r>
        <w:t>综上所述，尽管各责任单位在任务承担和执行方面表现良好，但仍需进一步优化资源配置，特别是在提高特定类型项目的资金使用效率方面。</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11个），研发类50%（18个），环保类20%（7个）。资金执行总额为4.5亿元，其中研发类项目占执行资金的60%（2.7亿元），平均执行率90%。基础设施类项目的资金执行率为85%，环保类项目的资金执行率为95%。</w:t>
      </w:r>
    </w:p>
    <w:p>
      <w:pPr>
        <w:ind w:firstLine="400"/>
        <w:jc w:val="both"/>
      </w:pPr>
      <w:r>
        <w:t>在所有负责单位中，单位201的资金执行情况最为突出，其执行率达到98%，共涉及研发和环保项目各3个；单位202的执行率为87%，主要集中在基础设施建设方面。值得注意的是，尽管整体执行率较高，但仍有3/10的单位预算执行数据不可用。</w:t>
      </w:r>
    </w:p>
    <w:p>
      <w:pPr>
        <w:ind w:firstLine="400"/>
        <w:jc w:val="both"/>
      </w:pPr>
      <w:r>
        <w:t>从效率角度来看，高执行率表明资金使用较为高效，且符合既定的战略目标。然而，对于那些未提供完整数据的单位，需要进一步调查以确保其合规性和透明度。此外，研发类项目的高占比和高执行率反映了组织对创新和技术进步的高度关注，这与长期战略方向保持一致。</w:t>
      </w:r>
    </w:p>
    <w:p>
      <w:pPr>
        <w:ind w:firstLine="400"/>
        <w:jc w:val="both"/>
      </w:pPr>
      <w:r>
        <w:t>综上所述，2024年的项目经费执行情况总体良好，但需继续监控并解决数据缺失问题，以保证全面的财务透明度和合规性。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的资金执行率为85%，新增项目的资金执行率为69%。</w:t>
      </w:r>
    </w:p>
    <w:p>
      <w:pPr>
        <w:ind w:firstLine="400"/>
        <w:jc w:val="both"/>
      </w:pPr>
      <w:r>
        <w:t>在负责单位承诺方面，单位201、202及其他单位均按时提交了项目进展报告，并完成了年度目标的80%以上。其中，单位201完成率最高，达到92%；单位202完成率为85%，其他单位平均完成率为79%。</w:t>
      </w:r>
    </w:p>
    <w:p>
      <w:pPr>
        <w:ind w:firstLine="400"/>
        <w:jc w:val="both"/>
      </w:pPr>
      <w:r>
        <w:t>在业务价值方面，通过优化资源配置和提高执行效率，整体项目的合规性和战略一致性得到了显著提升。特别是型号研制类项目，在技术创新和市场竞争力方面的表现尤为突出，为公司的长期发展奠定了坚实的基础。</w:t>
      </w:r>
    </w:p>
    <w:p>
      <w:pPr>
        <w:ind w:firstLine="400"/>
        <w:jc w:val="both"/>
      </w:pPr>
      <w:r>
        <w:t>需要注意的是，预算执行率数据对于3/10的单位不可用，这可能影响了部分分析结果的完整性。未来应进一步加强数据收集与管理，确保所有关键指标的数据完整性和准确性。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