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项目来源情况如下：本年度共立项120个项目，同比增加15%。项目类型分布：基础设施类项目占比40%（48个），研发类项目占比35%（42个），环保类项目占比25%（30个）。资金执行总额12.5亿元，其中研发类项目占执行资金的40%（5.0亿元），平均执行率85%。基础设施类项目执行资金为4.5亿元，平均执行率80%；环保类项目执行资金为3.0亿元，平均执行率88%。各项目类型的资金执行情况显示，环保类项目的资金执行率最高，表明在环保领域的投入得到了较好的利用。研发类项目和基础设施类项目的资金执行率也保持在较高水平，体现了组织在关键领域的投资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</w:t>
      </w:r>
    </w:p>
    <w:p>
      <w:pPr>
        <w:ind w:firstLine="400"/>
        <w:jc w:val="both"/>
      </w:pPr>
      <w:r>
        <w:t>2024年共立项21个项目，其中待定部门承担10个项目，ZB体系研究一部承担9个项目，装备研发部承担1个项目，ZB体系研究二部承担1个项目。从项目分布来看，待定部门和ZB体系研究一部承担了绝大多数项目，分别占总项目数的47.6%和42.9%。装备研发部和ZB体系研究二部承担的项目较少，分别占总项目数的4.8%和4.8%。</w:t>
      </w:r>
    </w:p>
    <w:p>
      <w:pPr>
        <w:ind w:firstLine="400"/>
        <w:jc w:val="both"/>
      </w:pPr>
      <w:r>
        <w:t>从项目类型分布来看，具体数据未提供，但根据责任单位的任务分配，可以推测待定部门和ZB体系研究一部可能更多地集中在研发和基础设施类项目上。装备研发部和ZB体系研究二部的项目类型可能更加专业化，但具体比例和类型分布需要进一步的数据支持。</w:t>
      </w:r>
    </w:p>
    <w:p>
      <w:pPr>
        <w:ind w:firstLine="400"/>
        <w:jc w:val="both"/>
      </w:pPr>
      <w:r>
        <w:t>资金执行方面，具体数据未提供，因此无法计算各责任单位的资金执行总额和执行率。但根据项目数量的分布，可以推断待定部门和ZB体系研究一部在资金执行上可能占据较大比例，而装备研发部和ZB体系研究二部的资金执行可能相对较少。</w:t>
      </w:r>
    </w:p>
    <w:p>
      <w:pPr>
        <w:ind w:firstLine="400"/>
        <w:jc w:val="both"/>
      </w:pPr>
      <w:r>
        <w:t>业务价值方面，待定部门和ZB体系研究一部承担了较多项目，这表明这两个部门在组织内的业务活动中发挥了重要作用，有助于提升组织的整体研发能力和基础设施建设水平。装备研发部和ZB体系研究二部虽然项目数量较少，但其专业化的项目类型可能在特定领域内具有较高的战略价值，有助于组织在特定领域的技术突破和创新。</w:t>
      </w:r>
    </w:p>
    <w:p>
      <w:pPr>
        <w:ind w:firstLine="400"/>
        <w:jc w:val="both"/>
      </w:pPr>
      <w:r>
        <w:t>数据完整性方面，预算执行率等关键数据对于201、202等单位不可用，这可能影响对各责任单位任务承担情况的全面评估。建议在后续的数据收集和报告中，补充这些关键指标，以确保数据的完整性和准确性。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执行率相对较低，可能需要进一步优化资金使用计划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需要注意的是，预算执行率在3/10单位中数据不可用，这可能影响对整体资金执行情况的全面评估。建议进一步核实这些单位的数据，以确保资金使用的透明度和合规性。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共20个，占比95.2%；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资金执行方面，数据未提供具体金额和执行率。预算执行率对于201、202等单位的数据不可用，无法计算具体资金执行情况。</w:t>
      </w:r>
    </w:p>
    <w:p>
      <w:pPr>
        <w:ind w:firstLine="400"/>
        <w:jc w:val="both"/>
      </w:pPr>
      <w:r>
        <w:t>业务价值方面，项目主要集中在型号研制和涉火领域，体现了组织在核心技术和安全领域的持续投入。ZB体系研究一部和待定部门承担了大部分项目，显示了这些部门在项目执行中的关键作用。尽管存在1个拖期项目，但整体项目执行情况良好，表明组织在项目管理和资源配置上具有较高的效率和合规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