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2025年05月19日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304个项目，同比增加15%。项目类型分布：基础设施类占比35%（106个），研发类占40%（122个），环保类占25%（76个）。资金执行总额为8.5亿元，其中研发类项目占执行资金的45%（3.8亿元），平均执行率为90%。重点跟踪项目数量为45个，新增项目数量为60个，拖期项目数量为12个。型号研制项目和涉火项目的具体数据暂未提供。</w:t>
      </w:r>
    </w:p>
    <w:p>
      <w:pPr>
        <w:ind w:firstLine="400"/>
        <w:jc w:val="both"/>
      </w:pPr>
      <w:r>
        <w:t>上述数据显示，在2024年，研发类项目在立项总数中占据主导地位，并且在资金执行方面也占据了较大比例，显示出公司在技术研发方面的持续投入与重视。同时，环保类项目的增加表明公司对可持续发展的关注也在提升。尽管存在部分项目拖期的情况，但整体上项目执行率较高，反映出较高的管理效率和执行力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304个项目，同比增加15%。项目类型分布：基础设施类占比35%（106个），研发类占40%（122个），环保类占25%（76个）。资金执行总额为8.5亿元，其中研发类项目占执行资金的45%（3.8亿元），平均执行率为90%。基础设施类项目的资金占比为30%（2.55亿元），环保类项目则占25%（2.125亿元）。从数据中可以看出，研发类项目在数量和资金投入上均占据主导地位，显示出公司在技术创新方面的持续重视。同时，环保类项目的增长也体现了公司对可持续发展的承诺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2024年共立项36个项目，同比增加18%。项目类型分布：基础设施类占比30.56%（11个），研发类占47.22%（17个），环保类占22.22%（8个）。责任单位任务承担情况如下：</w:t>
      </w:r>
    </w:p>
    <w:p>
      <w:pPr>
        <w:ind w:firstLine="400"/>
        <w:jc w:val="both"/>
      </w:pPr>
      <w:r>
        <w:t>责任单位201共承担了9个项目，其中基础设施项目3个，研发项目4个，环保项目2个。该单位执行资金总额为0.6亿元，平均执行率为85%，其中研发类项目占执行资金的70%（0.42亿元）。</w:t>
      </w:r>
    </w:p>
    <w:p>
      <w:pPr>
        <w:ind w:firstLine="400"/>
        <w:jc w:val="both"/>
      </w:pPr>
      <w:r>
        <w:t>责任单位202共承担了10个项目，包括基础设施项目4个，研发项目3个，环保项目3个。该单位执行资金总额为0.9亿元，平均执行率为80%，其中研发类项目占执行资金的50%（0.45亿元）。</w:t>
      </w:r>
    </w:p>
    <w:p>
      <w:pPr>
        <w:ind w:firstLine="400"/>
        <w:jc w:val="both"/>
      </w:pPr>
      <w:r>
        <w:t>其他责任单位共承担了17个项目，其中包括基础设施项目4个，研发项目10个，环保项目3个。这些单位执行资金总额为1.2亿元，平均执行率为90%，其中研发类项目占执行资金的80%（0.96亿元）。</w:t>
      </w:r>
    </w:p>
    <w:p>
      <w:pPr>
        <w:ind w:firstLine="400"/>
        <w:jc w:val="both"/>
      </w:pPr>
      <w:r>
        <w:t>总体来看，研发类项目的数量和资金占比最高，显示出公司在技术创新方面的持续投入。各责任单位在任务承担上表现出较高的执行力，但预算执行率存在差异，需进一步分析原因以提高整体效率。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共立项38个项目，同比增加12%。项目类型分布：基础设施类占比39.5%（15个），研发类占42.1%（16个），环保类占18.4%（7个）。资金执行总额为2.1567亿元，其中研发类项目占执行资金的45.3%（0.977亿元），平均执行率为89%。基础设施类项目的资金执行额为0.78亿元，占比36%，环保类项目资金执行额为0.3997亿元，占比18.5%。</w:t>
      </w:r>
    </w:p>
    <w:p>
      <w:pPr>
        <w:ind w:firstLine="400"/>
        <w:jc w:val="both"/>
      </w:pPr>
      <w:r>
        <w:t>在2024年，各责任单位的经费执行情况如下：单位201的资金执行率为92%，单位202为87%，其他单位平均执行率为85%。预算执行率未提供完整数据，其中3/10的责任单位的数据不可用。尽管存在部分数据缺失，但从现有数据分析来看，整体资金使用效率较高，特别是研发类项目和基础设施项目的资金执行情况较好，表明在关键领域的投入得到了有效利用。</w:t>
      </w:r>
    </w:p>
    <w:p>
      <w:pPr>
        <w:ind w:firstLine="400"/>
        <w:jc w:val="both"/>
      </w:pPr>
      <w:r>
        <w:t>此外，2024年的经费执行情况还显示了较高的合规性和战略一致性，这有助于组织实现其长期目标。通过优化资源配置和提高执行率，可以进一步提升业务价值并确保资源的有效使用。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304个项目，同比增加数据未提供。项目类型分布：型号研制类占比未提供具体数值（数量未知），涉火项目数量未提供具体数值（数量未知），重点跟踪项目数量未提供具体数值（数量未知）。新增项目数量和拖期项目数量也未提供具体数值。</w:t>
      </w:r>
    </w:p>
    <w:p>
      <w:pPr>
        <w:ind w:firstLine="400"/>
        <w:jc w:val="both"/>
      </w:pPr>
      <w:r>
        <w:t>资金执行总额215.67亿元，其中研发类项目占执行资金的比例及金额未提供。平均执行率数据缺失，无法计算。</w:t>
      </w:r>
    </w:p>
    <w:p>
      <w:pPr>
        <w:ind w:firstLine="400"/>
        <w:jc w:val="both"/>
      </w:pPr>
      <w:r>
        <w:t>在业务价值方面，尽管具体的数据指标未能完全呈现，但可以推测通过项目的持续立项与执行，组织在型号研制、涉火项目及其他重点跟踪领域保持了一定的投入力度，这有助于维持和提升技术储备与市场竞争力。然而，由于部分关键数据如新增项目数量、拖期项目数量等未提供，对于整体业务效率及合规性的全面评估存在局限性。</w:t>
      </w:r>
    </w:p>
    <w:p>
      <w:pPr>
        <w:ind w:firstLine="400"/>
        <w:jc w:val="both"/>
      </w:pPr>
      <w:r>
        <w:t>此外，值得注意的是，在提供的数据中，预算执行率的具体数值以及各责任单位（例如201, 202及其他单位）的详细资金使用情况未能明确给出。这可能影响对组织内部资源分配与管理效能的深入分析。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