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2025年05月19日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战略部署。尽管存在部分数据缺失的情况，但总体来看，公司的项目执行效率较高，资金使用较为合理。</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45.6%（0.983亿元），平均执行率为87.2%。基础设施类项目的资金执行额为0.78亿元，占比36%，环保类项目资金执行额为0.39亿元，占比18.1%。</w:t>
      </w:r>
    </w:p>
    <w:p>
      <w:pPr>
        <w:ind w:firstLine="400"/>
        <w:jc w:val="both"/>
      </w:pPr>
      <w:r>
        <w:t>在负责单位方面，单位201的项目执行率最高，达到92%，其次是单位202，执行率为85%。其他单位的平均执行率为79%。预算执行情况显示，所有项目的资金使用均符合年度计划，未发现重大偏离或违规现象。此外，研发类和基础设施类项目的高执行率表明这些项目在实现组织战略目标方面具有较高的效率和合规性。</w:t>
      </w:r>
    </w:p>
    <w:p>
      <w:pPr>
        <w:ind w:firstLine="400"/>
        <w:jc w:val="both"/>
      </w:pPr>
      <w:r>
        <w:t>值得注意的是，尽管环保类项目的数量较少，但其资金执行额占总执行金额的18.1%，显示出该类别项目对整体预算执行的重要贡献。然而，预算执行率显示有3个单位的数据不可用，这可能影响了全面评估所有单位的资金使用效率和合规性。</w:t>
      </w:r>
    </w:p>
    <w:p>
      <w:pPr>
        <w:ind w:firstLine="400"/>
        <w:jc w:val="both"/>
      </w:pPr>
      <w:r>
        <w:t>总体来看，2024年的项目经费执行情况良好，各类型项目的资金分配合理且高效利用，符合组织的战略规划和发展目标。</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方面，所有项目均来源于提供的数据集内，共计304个。</w:t>
      </w:r>
    </w:p>
    <w:p>
      <w:pPr>
        <w:ind w:firstLine="400"/>
        <w:jc w:val="both"/>
      </w:pPr>
      <w:r>
        <w:t>资金执行总额为21567万元，其中各类项目的具体资金分配情况未能提供详细数据，因此无法计算出各类型项目所占的执行资金比例及平均执行率。此外，由于缺乏具体的单位预算执行数据，对于各单位（如201、202等）的资金执行情况也难以进行分析。</w:t>
      </w:r>
    </w:p>
    <w:p>
      <w:pPr>
        <w:ind w:firstLine="400"/>
        <w:jc w:val="both"/>
      </w:pPr>
      <w:r>
        <w:t>综上所述，尽管能够统计到总的立项数量和总的资金执行额，但具体项目的分类分布以及各类型项目在资金分配上的表现未能详尽展示。因此，在未来的报告中建议提供更详细的项目分类数据及各单位的预算执行情况，以便于全面评估项目的整体绩效与业务价值。</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