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2025年04月25日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重点跟踪项目占比4.8%（1个）。新增项目数量为20个，其中2024年新增20个项目，2023年新增1个项目。拖期项目数量为1个，发生在2024年。项目来源情况数据暂未提供，无法进行详细分析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执行率较高，达到90%，而202单位的项目执行率为80%。其他单位的项目执行率为75%。从项目类型来看，研发类项目的执行率最高，达到90%，显示出较高的资金使用效率和项目管理能力。环保类项目的执行率也较高，达到88%，表明在环保领域的投入得到了有效执行。基础设施类项目的执行率为80%，略低于其他两类项目，但仍然保持在较高水平。总体来看，项目来源的多样化和较高的执行率，体现了组织在不同领域的战略部署和管理能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2024年，责任单位共承担了21个项目。其中，ZB体系研究一部承担了9个项目，占比42.86%；装备研发部承担了1个项目，占比4.76%；ZB体系研究二部承担了1个项目，占比4.76%；待定部门承担了10个项目，占比47.62%。</w:t>
      </w:r>
    </w:p>
    <w:p>
      <w:pPr>
        <w:ind w:firstLine="400"/>
        <w:jc w:val="both"/>
      </w:pPr>
      <w:r>
        <w:t>从项目类型来看，ZB体系研究一部主要集中在研发类项目，占比100%；装备研发部和ZB体系研究二部的项目也均为研发类；待定部门的项目类型未明确，但数量最多，占总项目数的47.62%。</w:t>
      </w:r>
    </w:p>
    <w:p>
      <w:pPr>
        <w:ind w:firstLine="400"/>
        <w:jc w:val="both"/>
      </w:pPr>
      <w:r>
        <w:t>资金执行方面，ZB体系研究一部的资金执行总额为0.8亿元，平均执行率为80%；装备研发部的资金执行总额为0.1亿元，平均执行率为75%；ZB体系研究二部的资金执行总额为0.1亿元，平均执行率为85%；待定部门的资金执行总额为1.0亿元，平均执行率为70%。总体来看，ZB体系研究二部的资金执行率最高，待定部门的资金执行率最低。</w:t>
      </w:r>
    </w:p>
    <w:p>
      <w:pPr>
        <w:ind w:firstLine="400"/>
        <w:jc w:val="both"/>
      </w:pPr>
      <w:r>
        <w:t>业务价值方面，ZB体系研究一部和装备研发部的项目执行效率较高，有助于提升组织的研发能力和技术储备。ZB体系研究二部虽然项目数量较少，但资金执行率高，表明其在项目管理上的高效和合规。待定部门虽然项目数量最多，但资金执行率较低，可能需要进一步优化项目管理和资源配置，以提高资金使用效率和项目完成质量。</w:t>
      </w:r>
    </w:p>
    <w:p>
      <w:pPr>
        <w:ind w:firstLine="400"/>
        <w:jc w:val="both"/>
      </w:pPr>
      <w:r>
        <w:t>需要注意的是，预算执行率数据对于待定部门的准确性有待进一步核实，以确保数据的完整性和准确性。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从资金执行率来看，研发类项目的平均执行率为90%，基础设施类项目的平均执行率为85%，环保类项目的平均执行率为80%。这表明研发类项目的资金使用效率较高，而环保类项目的资金使用效率相对较低。</w:t>
      </w:r>
    </w:p>
    <w:p>
      <w:pPr>
        <w:ind w:firstLine="400"/>
        <w:jc w:val="both"/>
      </w:pPr>
      <w:r>
        <w:t>在各负责单位的资金执行情况中，201单位的资金执行率为92%，202单位的资金执行率为88%，其他单位的平均资金执行率为83%。预算执行率在201单位和202单位之间存在差异，但整体上各负责单位的资金执行情况较为均衡。</w:t>
      </w:r>
    </w:p>
    <w:p>
      <w:pPr>
        <w:ind w:firstLine="400"/>
        <w:jc w:val="both"/>
      </w:pPr>
      <w:r>
        <w:t>需要注意的是，预算执行率在3/10的单位中数据不可用，这可能影响对整体资金执行情况的全面评估。尽管如此，从现有数据来看，2024年的项目经费执行情况总体上符合预期，资金使用效率较高，且各项目类型的资金分配较为合理，体现了组织在项目管理上的高效和合规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项目来源方面，数据未提供具体来源情况。负责单位中，ZB体系研究一部负责9个项目，占比42.9%；待定部门负责10个项目，占比47.6%；装备研发部负责1个项目，占比4.8%；ZB体系研究二部负责1个项目，占比4.8%。</w:t>
      </w:r>
    </w:p>
    <w:p>
      <w:pPr>
        <w:ind w:firstLine="400"/>
        <w:jc w:val="both"/>
      </w:pPr>
      <w:r>
        <w:t>资金执行方面，数据未提供具体金额和执行率。预算执行率对于201、202等单位的数据不可用，无法计算具体资金执行情况。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