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拖期项目数量为8个，占比5%，表明大部分项目的执行进度较为理想。重点跟踪的项目有30个，占总项目数的19%。</w:t>
      </w:r>
    </w:p>
    <w:p>
      <w:pPr>
        <w:ind w:firstLine="400"/>
        <w:jc w:val="both"/>
      </w:pPr>
      <w:r>
        <w:t>从项目来源看，内部发起的项目占60%，外部合作项目占40%，显示出公司在保持自主创新能力的同时，也在积极寻求与外部合作伙伴的合作机会。在负责单位方面，201和202两个单位承担了大部分的研发类项目，分别占比35%和25%，体现了其在研发领域的核心地位。</w:t>
      </w:r>
    </w:p>
    <w:p>
      <w:pPr>
        <w:ind w:firstLine="400"/>
        <w:jc w:val="both"/>
      </w:pPr>
      <w:r>
        <w:t>总体来看，公司通过优化资源配置、加强内部管理和提升合作效率，在保持业务增长的同时，也实现了较高的资金执行率和较低的拖期率。这不仅有助于提高公司的运营效率，还增强了公司在行业内的竞争力和战略执行力。</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显示出该部门在推动技术创新方面的核心作用；而202单位则主要承担基础设施建设任务，占比达到40%，体现了其在公司基础架构升级中的关键地位。环保类项目的执行情况良好，反映出公司在环境保护方面的工作得到了有效落实。</w:t>
      </w:r>
    </w:p>
    <w:p>
      <w:pPr>
        <w:ind w:firstLine="400"/>
        <w:jc w:val="both"/>
      </w:pPr>
      <w:r>
        <w:t>综上所述，项目来源的分布和资金执行情况反映了公司的战略重点和发展方向，同时也展示了各责任单位在不同领域内的贡献与成效。</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预算执行率方面，责任单位201和202以及部分其他单位的数据完整且准确，但有三个单位的预算执行数据缺失或不一致，具体影响了整体分析的全面性。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公司在技术创新和产品开发方面的投入得到了有效利用，有助于提升公司的核心竞争力。同时，基础设施项目较高的执行率也反映了公司对基础建设的重视程度，为长期发展奠定了坚实的基础。环保类项目的执行情况虽然略低于其他两类，但其80%的平均执行率仍显示出公司在可持续发展方面所做的努力。</w:t>
      </w:r>
    </w:p>
    <w:p>
      <w:pPr>
        <w:ind w:firstLine="400"/>
        <w:jc w:val="both"/>
      </w:pPr>
      <w:r>
        <w:t>值得注意的是，尽管整体资金执行情况良好，但在某些单位中存在预算执行不均衡的现象，例如单位201在研发项目上的高执行率与环保项目的相对较低形成对比。这可能需要进一步分析具体原因，并采取相应措施以确保所有类型的项目都能得到合理和有效的资金支持。</w:t>
      </w:r>
    </w:p>
    <w:p>
      <w:pPr>
        <w:ind w:firstLine="400"/>
        <w:jc w:val="both"/>
      </w:pPr>
      <w:r>
        <w:t>此外，还需关注的是，在部分单位的个别项目上，预算执行情况存在一定的波动性，例如单位201在某研发项目上的实际支出超出预算5%，而另一环保项目的实际支出则低于预算3%。这些细节反映出公司在项目管理和成本控制方面仍需进一步优化和改进。</w:t>
      </w:r>
    </w:p>
    <w:p>
      <w:pPr>
        <w:ind w:firstLine="400"/>
        <w:jc w:val="both"/>
      </w:pPr>
      <w:r>
        <w:t>综上所述，2024年公司整体的资金执行情况较为理想，但在具体项目类型及单位间的资金使用效率存在差异，需要通过持续的监控与调整来确保所有项目的高效执行，并促进公司的长期可持续发展。</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