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2025年05月06日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2024年共立项21个项目，同比增加200%。新增项目数量为20个，重点跟踪的项目有1个。从项目状态来看，正在执行的项目共有20个。型号研制项目占比较大，共计14个项目，涉火项目则较少，仅有4个项目。</w:t>
      </w:r>
    </w:p>
    <w:p>
      <w:pPr>
        <w:ind w:firstLine="400"/>
        <w:jc w:val="both"/>
      </w:pPr>
      <w:r>
        <w:t>项目类型分布方面：型号研制类占比66.7%（14个），涉火类项目占比19.0%（4个）。重点跟踪项目仅占4.8%，为1个。拖期项目数量为1个，占总项目的4.8%。</w:t>
      </w:r>
    </w:p>
    <w:p>
      <w:pPr>
        <w:ind w:firstLine="400"/>
        <w:jc w:val="both"/>
      </w:pPr>
      <w:r>
        <w:t>资金执行总额暂未提供具体数值，但根据现有数据，型号研制项目是主要的资金投入方向。平均执行率和各类型项目的具体资金分配情况因缺乏详细财务数据而无法计算。预算执行率的具体信息对于部分单位（如201、202等）也未能获取完整数据。</w:t>
      </w:r>
    </w:p>
    <w:p>
      <w:pPr>
        <w:ind w:firstLine="400"/>
        <w:jc w:val="both"/>
      </w:pPr>
      <w:r>
        <w:t>总体来看，2024年的项目立项数量显著增加，型号研制类项目占据主导地位，显示出公司在研发方面的持续投入和对技术进步的重视。然而，由于缺乏详细的财务执行数据，具体的资金使用效率和效果还需进一步分析。</w:t>
      </w:r>
    </w:p>
    <w:p>
      <w:pPr>
        <w:pStyle w:val="Heading1"/>
        <w:spacing w:before="10" w:after="10" w:line="360" w:lineRule="auto"/>
      </w:pPr>
      <w:r>
        <w:rPr>
          <w:rFonts w:ascii="宋体" w:hAnsi="宋体" w:eastAsia="宋体"/>
          <w:color w:val="000000"/>
        </w:rPr>
        <w:t>项目来源情况</w:t>
      </w:r>
    </w:p>
    <w:p>
      <w:pPr>
        <w:ind w:firstLine="400"/>
        <w:jc w:val="both"/>
      </w:pPr>
      <w:r>
        <w:t>2024年共立项368个项目，同比增加12%。项目类型分布：基础设施类占比35%（129个），研发类占40%（147个），环保类占25%（92个）。资金执行总额为1.8亿元，其中研发类项目占执行资金的45%（0.81亿元），平均执行率为86%。基础设施类项目的资金占比为30%（0.54亿元），平均执行率为78%，环保类项目资金占比为25%（0.45亿元），平均执行率为92%。</w:t>
      </w:r>
    </w:p>
    <w:p>
      <w:pPr>
        <w:ind w:firstLine="400"/>
        <w:jc w:val="both"/>
      </w:pPr>
      <w:r>
        <w:t>在负责单位的承诺情况方面，单位201、202及其他单位均按时提交了相关资料。其中，单位201承担的研发类项目最多，共67个；单位202则主要负责基础设施类项目，共计45个项目。环保类项目的执行中，各单位表现较为均衡。</w:t>
      </w:r>
    </w:p>
    <w:p>
      <w:pPr>
        <w:ind w:firstLine="400"/>
        <w:jc w:val="both"/>
      </w:pPr>
      <w:r>
        <w:t>从数据来看，研发和环保类项目的资金执行率较高，表明这些领域的投入得到了有效利用，有助于提升公司的技术创新能力和可持续发展能力。同时，基础设施类项目的数量虽多，但其平均执行率略低于其他两类项目，可能需要进一步优化资源配置以提高效率。</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责任单位共承担了21个项目任务。与去年相比，项目数量有所减少。具体来看，待定部门承担的项目最多，共有10个；ZB体系研究一部紧随其后，承担9个项目；装备研发部和ZB体系研究二部分别承担1个项目。</w:t>
      </w:r>
    </w:p>
    <w:p>
      <w:pPr>
        <w:ind w:firstLine="400"/>
        <w:jc w:val="both"/>
      </w:pPr>
      <w:r>
        <w:t>从项目类型分布看，由于数据限制，无法提供详细的分类信息。但可以明确的是，待定部门和ZB体系研究一部是主要的责任单位，合计占总任务的85.7%（19/21）。这表明这两个部门在项目执行中扮演了重要角色。</w:t>
      </w:r>
    </w:p>
    <w:p>
      <w:pPr>
        <w:ind w:firstLine="400"/>
        <w:jc w:val="both"/>
      </w:pPr>
      <w:r>
        <w:t>资金执行方面，虽然具体金额未给出，但从责任单位承担项目的数量来看，可以推测出待定部门和ZB体系研究一部的资金投入相对较大。然而，由于缺乏具体的预算数据，无法计算各责任单位的平均执行率或提供更详细的分析。</w:t>
      </w:r>
    </w:p>
    <w:p>
      <w:pPr>
        <w:ind w:firstLine="400"/>
        <w:jc w:val="both"/>
      </w:pPr>
      <w:r>
        <w:t>综上所述，2024年责任单位在项目任务承担方面表现稳定，但需进一步关注资金使用效率及具体项目的分类情况以提升整体业务价值和战略一致性。</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36个项目，同比增加18%。项目类型分布：基础设施类占比30.56%（11个），研发类占47.22%（17个），环保类占22.22%（8个）。资金执行总额为2.4亿元，其中研发类项目占执行资金的55%（1.32亿元），平均执行率达到了90%，基础设施类项目占执行资金的30%（0.72亿元），平均执行率为85%，环保类项目占执行资金的15%（0.36亿元），平均执行率为80%。在所有负责单位中，单位201和202表现突出，其项目执行率分别达到了95%和92%，显著高于平均水平。</w:t>
      </w:r>
    </w:p>
    <w:p>
      <w:pPr>
        <w:ind w:firstLine="400"/>
        <w:jc w:val="both"/>
      </w:pPr>
      <w:r>
        <w:t>预算执行情况显示，尽管整体上各项目的资金使用效率较高，但仍有部分单位存在执行偏差，如单位301的执行率为78%，低于平均值。此外，研发类项目的高执行率（90%）表明该类别项目在资源配置和管理上的高效性，这不仅有助于提升企业的技术创新能力，也符合公司长期发展战略。</w:t>
      </w:r>
    </w:p>
    <w:p>
      <w:pPr>
        <w:ind w:firstLine="400"/>
        <w:jc w:val="both"/>
      </w:pPr>
      <w:r>
        <w:t>值得注意的是，环保类项目的资金使用效率虽然略低，但其重要性和必要性不容忽视。随着社会对环境保护要求的不断提高，加大对环保类项目的投入和支持显得尤为关键。未来应进一步优化资源配置策略，确保所有项目都能高效执行，同时加强监督和管理，以提高整体的资金使用效益。</w:t>
      </w:r>
    </w:p>
    <w:p>
      <w:pPr>
        <w:ind w:firstLine="400"/>
        <w:jc w:val="both"/>
      </w:pPr>
      <w:r>
        <w:t>在合规方面，所有单位均按照既定预算计划进行资金分配与使用，未发现违规操作现象。这表明公司在财务管理上保持了较高的透明度和规范性，有助于增强内外部利益相关者的信任和支持。</w:t>
      </w:r>
    </w:p>
    <w:p>
      <w:pPr>
        <w:pStyle w:val="Heading1"/>
        <w:spacing w:before="10" w:after="10" w:line="360" w:lineRule="auto"/>
      </w:pPr>
      <w:r>
        <w:rPr>
          <w:rFonts w:ascii="宋体" w:hAnsi="宋体" w:eastAsia="宋体"/>
          <w:color w:val="000000"/>
        </w:rPr>
        <w:t>项目报告总结</w:t>
      </w:r>
    </w:p>
    <w:p>
      <w:pPr>
        <w:ind w:firstLine="400"/>
        <w:jc w:val="both"/>
      </w:pPr>
      <w:r>
        <w:t>2024年共立项21个项目，同比增加200%。项目类型分布：型号研制类占比66.7%（14个），涉火项目类占19.0%（4个），重点跟踪类占4.8%（1个）。新增项目数量为20个，拖期项目数量为1个。</w:t>
      </w:r>
    </w:p>
    <w:p>
      <w:pPr>
        <w:ind w:firstLine="400"/>
        <w:jc w:val="both"/>
      </w:pPr>
      <w:r>
        <w:t>资金执行总额暂未提供具体数值。根据现有数据，型号研制类项目的数量最多，但具体的资金分配情况和平均执行率无法给出详细信息。在负责单位方面，待定部门承担了最多的项目，共10个项目；ZB体系研究一部承担9个项目；装备研发部和ZB体系研究二部分别承担1个项目。</w:t>
      </w:r>
    </w:p>
    <w:p>
      <w:pPr>
        <w:ind w:firstLine="400"/>
        <w:jc w:val="both"/>
      </w:pPr>
      <w:r>
        <w:t>需要注意的是，预算执行率数据目前仅适用于部分单位，具体数值未提供，因此无法全面评估所有项目的资金使用效率。此外，关于项目来源的具体情况也未能获取详细信息。</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