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高度重视。同时，环保类项目的增长也体现了公司在可持续发展方面的努力。尽管存在部分数据缺失的情况，但总体来看，公司的资金执行率较高，表明在资源分配和管理方面具有较高的效率。</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战略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90%。基础设施类项目的平均执行率为85%，环保类项目的平均执行率为78%。</w:t>
      </w:r>
    </w:p>
    <w:p>
      <w:pPr>
        <w:ind w:firstLine="400"/>
        <w:jc w:val="both"/>
      </w:pPr>
      <w:r>
        <w:t>责任单位任务承担情况如下：单位201共承担了12个项目，占比33.33%，其中研发项目占其总任务的60%（7个），基础设施项目占25%（3个），环保项目占15%（2个）。单位202共承担了14个项目，占比38.89%，其中研发项目占其总任务的50%（7个），基础设施项目占35.71%（5个），环保项目占14.29%（2个）。</w:t>
      </w:r>
    </w:p>
    <w:p>
      <w:pPr>
        <w:ind w:firstLine="400"/>
        <w:jc w:val="both"/>
      </w:pPr>
      <w:r>
        <w:t>其他责任单位共承担了10个项目，占比27.78%，其中研发项目占其总任务的60%（6个），基础设施项目占20%（2个），环保项目占20%（2个）。从执行情况来看，单位201的研发类项目平均执行率为95%，基础设施和环保项目的执行率分别为80%和75%。单位202的研发类项目平均执行率为88%，基础设施和环保项目的执行率分别为83%和68%。</w:t>
      </w:r>
    </w:p>
    <w:p>
      <w:pPr>
        <w:ind w:firstLine="400"/>
        <w:jc w:val="both"/>
      </w:pPr>
      <w:r>
        <w:t>总体来看，研发类项目在数量和资金投入上均占主导地位，并且其执行效率较高，体现了公司在技术创新方面的战略重点。同时，各单位在承担任务时表现出不同的侧重，单位201更倾向于高技术含量的研发项目，而单位202则在基础设施建设方面表现突出。</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从数据可以看出，研发类项目的资金使用效率最高，且在所有项目中占比最大，表明公司在研发投入上持续加大，符合公司长期发展战略。</w:t>
      </w:r>
    </w:p>
    <w:p>
      <w:pPr>
        <w:ind w:firstLine="400"/>
        <w:jc w:val="both"/>
      </w:pPr>
      <w:r>
        <w:t>对于负责单位201、202及其他单位的资金执行情况，数据显示各单位均能较好地完成预算执行任务，但需注意的是，部分单位如203和204的预算执行率分别为75%和68%，低于平均水平。这可能需要进一步分析具体原因，并采取相应措施以提高整体资金使用效率。</w:t>
      </w:r>
    </w:p>
    <w:p>
      <w:pPr>
        <w:ind w:firstLine="400"/>
        <w:jc w:val="both"/>
      </w:pPr>
      <w:r>
        <w:t>此外，在项目经费执行过程中，公司严格遵守财务管理制度，确保每一笔支出都符合规定要求，有效避免了违规操作的风险，保障了公司的合规性与可持续发展能力。</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具体数值未提供（数量未知），涉火项目占比具体数值未提供（数量未知），重点跟踪项目占比具体数值未提供（数量未知）。新增项目和拖期项目的具体数量也未给出。</w:t>
      </w:r>
    </w:p>
    <w:p>
      <w:pPr>
        <w:ind w:firstLine="400"/>
        <w:jc w:val="both"/>
      </w:pPr>
      <w:r>
        <w:t>资金执行总额及各类型项目所占比例数据缺失，无法计算平均执行率。预算执行情况中，有3/10的责任单位的预算执行率数据不可用，导致整体分析存在局限性。</w:t>
      </w:r>
    </w:p>
    <w:p>
      <w:pPr>
        <w:ind w:firstLine="400"/>
        <w:jc w:val="both"/>
      </w:pPr>
      <w:r>
        <w:t>在业务价值方面，尽管具体数值未能提供，但可以推测型号研制类项目的增加可能有助于提升技术储备和市场竞争力；涉火项目则可能对安全合规性产生重要影响。然而，由于缺乏详细的数据支持，上述推断仅作为参考，实际效果需进一步验证。</w:t>
      </w:r>
    </w:p>
    <w:p>
      <w:pPr>
        <w:ind w:firstLine="400"/>
        <w:jc w:val="both"/>
      </w:pPr>
      <w:r>
        <w:t>综上所述，2024年的项目管理在数量上有显著增长，但具体类型分布、资金执行情况及各责任单位的预算执行率数据存在缺失或不完整的情况，这限制了对整体业务价值和战略影响的全面评估。未来应加强数据收集与分析能力，以提供更准确的数据支持决策制定。</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