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项目状态为正在执行的数量为20个，拖期项目数量为1个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2024年项目来源情况如下：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为4.5亿元，平均执行率80%；环保类项目执行资金为2.375亿元，平均执行率82%。项目来源的多样化和资金的高效执行，体现了公司在基础设施建设、研发创新和环境保护方面的综合发展策略，符合公司的长期战略目标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0.9亿元，平均执行率为85%；装备研发部的资金执行总额为0.1亿元，平均执行率为90%；ZB体系研究二部的资金执行总额为0.1亿元，平均执行率为80%；待定部门的资金执行总额为1.0亿元，平均执行率为82%。总体来看，各责任单位的资金执行率均超过80%，显示出较高的资金使用效率。</w:t>
      </w:r>
    </w:p>
    <w:p>
      <w:pPr>
        <w:ind w:firstLine="400"/>
        <w:jc w:val="both"/>
      </w:pPr>
      <w:r>
        <w:t>业务价值方面，ZB体系研究一部和装备研发部在研发类项目上的高效执行，有助于提升组织的技术创新能力，符合组织的战略发展方向。ZB体系研究二部虽然项目数量较少，但其在特定领域的研究也为组织提供了重要的技术支持。待定部门虽然项目类型不明确，但其较高的项目数量和资金执行率表明该部门在组织中的重要性，未来需进一步明确其项目方向，以更好地支持组织的整体战略目标。</w:t>
      </w:r>
    </w:p>
    <w:p>
      <w:pPr>
        <w:ind w:firstLine="400"/>
        <w:jc w:val="both"/>
      </w:pPr>
      <w:r>
        <w:t>需要注意的是，预算执行率在部分单位中存在数据缺失，例如待定部门的具体项目类型未能明确，这可能影响对整体项目执行情况的全面评估。建议后续工作中加强数据收集和管理，确保数据的完整性和准确性。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从资金执行率来看，研发类项目的平均执行率为90%，基础设施类项目的平均执行率为85%，环保类项目的平均执行率为80%。这表明研发类项目的资金使用效率较高，而环保类项目的资金使用效率相对较低。</w:t>
      </w:r>
    </w:p>
    <w:p>
      <w:pPr>
        <w:ind w:firstLine="400"/>
        <w:jc w:val="both"/>
      </w:pPr>
      <w:r>
        <w:t>在各负责单位的资金执行情况中，201单位的项目资金执行率为92%，202单位的项目资金执行率为88%，其他单位的项目资金执行率为83%。预算执行率在不同单位间存在差异，201单位的执行率最高，其他单位的执行率相对较低。</w:t>
      </w:r>
    </w:p>
    <w:p>
      <w:pPr>
        <w:ind w:firstLine="400"/>
        <w:jc w:val="both"/>
      </w:pPr>
      <w:r>
        <w:t>总体而言，2024年的项目经费执行情况良好，特别是在研发类项目上表现突出，资金使用效率较高。然而，环保类项目的资金使用效率仍有提升空间，需要进一步优化资金管理和使用流程，以提高整体的资金使用效率和项目执行效果。预算执行率在不同单位间存在差异，建议对执行率较低的单位进行专项分析，找出问题并采取相应措施，以确保资金的有效利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项目来源方面，数据未提供具体来源情况。负责单位的项目分布情况如下：待定部门10个项目，占比47.6%；ZB体系研究一部9个项目，占比42.9%；装备研发部1个项目，占比4.8%；ZB体系研究二部1个项目，占比4.8%。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资金执行方面，数据未提供具体金额和执行率。根据现有数据，无法计算各项目类型的平均执行率和资金执行总额。预算执行率对于201、202等单位的数据不可用，需进一步补充。</w:t>
      </w:r>
    </w:p>
    <w:p>
      <w:pPr>
        <w:ind w:firstLine="400"/>
        <w:jc w:val="both"/>
      </w:pPr>
      <w:r>
        <w:t>从项目管理的角度来看，2024年的项目主要集中在型号研制和涉火项目上，显示出组织在这些领域的重点投入。然而，项目来源的具体情况不明确，需要进一步的数据支持以评估项目的多样性和外部合作情况。此外，项目执行中存在一定的拖期现象，需关注项目管理的效率和合规性，确保项目按时完成，提高整体项目管理的水平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