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2025年05月16日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30%（91个），研发类占45%（136个），环保类占25%（77个）。资金执行总额为8.5亿元，其中研发类项目占执行资金的50%（4.25亿元），平均执行率为85%。重点跟踪项目的数量为45个，新增项目数量为90个，拖期项目数量为15个。型号研制项目和涉火项目的数据暂未提供。</w:t>
      </w:r>
    </w:p>
    <w:p>
      <w:pPr>
        <w:ind w:firstLine="400"/>
        <w:jc w:val="both"/>
      </w:pPr>
      <w:r>
        <w:t>上述数据反映了公司在2024年的整体运营情况，特别是在研发类项目上的投入显著增加，显示出公司对技术创新的高度重视。同时，环保类项目的比例也达到了25%，表明公司在可持续发展方面做出了积极的努力。尽管如此，仍有部分关键指标如型号研制项目数量和涉火项目数量的数据缺失，这可能会影响全面评估公司的运营状况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承诺与努力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45.3%（0.977亿元），平均执行率为89%。基础设施类项目的资金执行额为0.78亿元，占比36%，环保类项目资金执行额为0.3997亿元，占比18.5%。</w:t>
      </w:r>
    </w:p>
    <w:p>
      <w:pPr>
        <w:ind w:firstLine="400"/>
        <w:jc w:val="both"/>
      </w:pPr>
      <w:r>
        <w:t>在2024年，各责任单位的经费执行情况如下：单位201的资金执行率为92%，单位202为87%，其他单位平均执行率为85%。预算执行率未提供完整数据，其中3/10的责任单位的数据不可用。尽管存在部分数据缺失，但从现有数据分析来看，整体资金使用效率较高，特别是研发类项目和基础设施项目的资金执行情况较好，表明在关键领域的投入得到了有效利用。</w:t>
      </w:r>
    </w:p>
    <w:p>
      <w:pPr>
        <w:ind w:firstLine="400"/>
        <w:jc w:val="both"/>
      </w:pPr>
      <w:r>
        <w:t>此外，从战略角度来看，较高的资金执行率有助于确保组织的长期发展计划得以顺利实施，并且符合公司的可持续发展目标。通过优化资源配置，可以进一步提高各项目的执行效果，促进业务价值的最大化。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上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