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所有立项项目中，新增项目数量达到10%，表明组织对新业务领域的积极探索和投入。重点跟踪的项目数量占总项目数的15%，显示出管理层对于关键项目的高度重视与监控力度。然而，拖期项目数量占比为7%，这可能反映了部分项目管理上的挑战或资源分配问题。</w:t>
      </w:r>
    </w:p>
    <w:p>
      <w:pPr>
        <w:ind w:firstLine="400"/>
        <w:jc w:val="both"/>
      </w:pPr>
      <w:r>
        <w:t>从项目来源看，内部发起的项目占60%（94个），外部合作项目占40%（62个）。这一分布表明组织在保持自主创新能力的同时，也在积极寻求与外部合作伙伴的战略协作机会。此外，型号研制项目的数量为35%，显示出公司在产品开发和技术创新方面的持续投入。</w:t>
      </w:r>
    </w:p>
    <w:p>
      <w:pPr>
        <w:ind w:firstLine="400"/>
        <w:jc w:val="both"/>
      </w:pPr>
      <w:r>
        <w:t>综上所述，2024年的项目管理情况总体稳健，但在拖期项目管理和资源分配方面仍存在改进空间。通过优化项目执行效率和加强内部协调机制，可以进一步提升整体业务价值与战略目标的实现。</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较高的资金执行率显示了公司对可持续发展的重视程度。从单位承诺情况来看，各单位均按计划推进项目实施，其中201单位负责的项目在资金使用效率上表现突出。</w:t>
      </w:r>
    </w:p>
    <w:p>
      <w:pPr>
        <w:ind w:firstLine="400"/>
        <w:jc w:val="both"/>
      </w:pPr>
      <w:r>
        <w:t>此外，值得注意的是，尽管整体趋势向好，但在部分单位中仍存在预算执行不均衡的现象，例如203单位和207单位的资金执行率分别为65%和70%，低于平均水平。这可能需要进一步分析具体原因，并采取相应措施以提高资金使用效率。</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8%。项目类型分布：基础设施类占比30.56%（11个），研发类占47.22%（17个），环保类占22.22%（8个）。资金执行总额为2.4亿元，其中研发类项目占执行资金的55%（1.32亿元），平均执行率90%。基础设施类项目执行资金占比25%（0.6亿元），平均执行率为85%，环保类项目执行资金占比20%（0.48亿元），平均执行率为88%。</w:t>
      </w:r>
    </w:p>
    <w:p>
      <w:pPr>
        <w:ind w:firstLine="400"/>
        <w:jc w:val="both"/>
      </w:pPr>
      <w:r>
        <w:t>在负责单位的承诺方面，单位201和202分别承担了主要的研发和基础设施建设任务。其中，单位201负责的研发项目共13个，占研发项目的76%，其资金执行总额为1.05亿元；单位202负责的基础设施建设项目共9个，占基础设施类项目的81.82%，其资金执行总额为0.45亿元。</w:t>
      </w:r>
    </w:p>
    <w:p>
      <w:pPr>
        <w:ind w:firstLine="400"/>
        <w:jc w:val="both"/>
      </w:pPr>
      <w:r>
        <w:t>预算执行率方面，所有单位均达到或超过预期目标。其中，单位201的研发项目平均执行率为93%，单位202的基础设施建设项目的平均执行率为87%。环保类项目主要由其他单位负责，共涉及6个单位，其资金执行总额为0.48亿元，平均执行率为88%。</w:t>
      </w:r>
    </w:p>
    <w:p>
      <w:pPr>
        <w:ind w:firstLine="400"/>
        <w:jc w:val="both"/>
      </w:pPr>
      <w:r>
        <w:t>从整体来看，2024年的项目经费执行情况良好，各类型项目均按计划推进，特别是研发和基础设施建设项目的高执行率显示了较高的效率和良好的合规性。这不仅有助于实现公司的战略目标，也体现了公司在资源分配上的精准性和有效性。</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涉火项目占比29%（45个），重点跟踪项目占比18%（28个），新增项目占比16%（25个）。资金执行总额为10.5亿元，其中型号研制类项目占执行资金的42%（4.4亿元），平均执行率为78%。涉火项目的资金执行率为73%，重点跟踪项目和新增项目的资金执行率分别为79%和68%。</w:t>
      </w:r>
    </w:p>
    <w:p>
      <w:pPr>
        <w:ind w:firstLine="400"/>
        <w:jc w:val="both"/>
      </w:pPr>
      <w:r>
        <w:t>在负责单位承诺方面，单位201、202和其他单位均按时提交了相关报告，并完成了年度目标的85%。预算执行情况显示，大部分单位的资金使用较为合理，但有3个单位（占总数的15%）存在资金使用率低于60%的情况。</w:t>
      </w:r>
    </w:p>
    <w:p>
      <w:pPr>
        <w:ind w:firstLine="400"/>
        <w:jc w:val="both"/>
      </w:pPr>
      <w:r>
        <w:t>业务价值方面，通过优化项目管理和提高资金使用效率，整体提升了项目的完成质量和速度，确保了战略方向的一致性，并在一定程度上提高了企业的市场竞争力。此外，在合规性和风险管理方面也取得了显著成效，所有项目均符合相关法规要求，未发生重大违规事件。</w:t>
      </w:r>
    </w:p>
    <w:p>
      <w:pPr>
        <w:ind w:firstLine="400"/>
        <w:jc w:val="both"/>
      </w:pPr>
      <w:r>
        <w:t>需要注意的是，尽管总体表现良好，但仍有部分数据存在缺失或不一致的情况，例如重点跟踪项目的具体执行情况和个别单位的预算执行率等信息未能完全获取。</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