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负责单位方面，单位201承担了其中的40个项目，单位202承担了35个，其他单位共承担81个项目。从项目来源看，内部发起的项目占比为60%，外部合作项目占比为40%。重点跟踪项目的数量为20个，新增项目数量为30个。</w:t>
      </w:r>
    </w:p>
    <w:p>
      <w:pPr>
        <w:ind w:firstLine="400"/>
        <w:jc w:val="both"/>
      </w:pPr>
      <w:r>
        <w:t>需要注意的是，部分数据如预算执行率在某些负责单位中不可用，具体来说有三个单位的数据缺失。此外，型号研制项目和涉火项目的具体数量未提供完整信息，在此报告中无法体现这些细节。</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高执行率显示了公司对可持续发展的重视程度。从资金分配来看，研发类项目获得了最大的支持，这与公司的长期发展战略相一致。</w:t>
      </w:r>
    </w:p>
    <w:p>
      <w:pPr>
        <w:ind w:firstLine="400"/>
        <w:jc w:val="both"/>
      </w:pPr>
      <w:r>
        <w:t>此外，201单位负责的项目中，有35%为研发类，平均执行率为89%，显示出较高的执行力和战略一致性；而202单位则主要承担基础设施建设任务，占比40%，其资金执行率略低于公司平均水平。这些数据反映了各单位在不同领域内的专业能力和资源分配情况。</w:t>
      </w:r>
    </w:p>
    <w:p>
      <w:pPr>
        <w:ind w:firstLine="400"/>
        <w:jc w:val="both"/>
      </w:pPr>
      <w:r>
        <w:t>综上所述，项目来源的分布及资金执行情况体现了公司在技术创新、基础建设和环境保护方面的均衡发展策略，并且各负责单位能够根据自身优势有效推进相关工作。</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8%。项目类型分布：基础设施类占比30.56%（11个），研发类占47.22%（17个），环保类占22.22%（8个）。资金执行总额为2.4亿元，其中研发类项目占执行资金的55%（1.32亿元），平均执行率90%。基础设施类项目资金执行额为6000万元，占比25%，平均执行率为85%；环保类项目资金执行额为4800万元，占比20%，平均执行率为88%。</w:t>
      </w:r>
    </w:p>
    <w:p>
      <w:pPr>
        <w:ind w:firstLine="400"/>
        <w:jc w:val="both"/>
      </w:pPr>
      <w:r>
        <w:t>在负责单位的承诺方面，单位201和202分别承担了其中的13个和9个项目。单位201的资金执行总额为1.1亿元，占总执行金额的45.83%，其研发类项目资金执行额为6600万元，占比60%；基础设施类项目资金执行额为3400万元，占比31%；环保类项目资金执行额为1000万元，占比9%。单位202的资金执行总额为7500万元，占总执行金额的31.25%，其研发类项目资金执行额为4200万元，占比56%；基础设施类项目资金执行额为2800万元，占比37%；环保类项目资金执行额为500万元，占比7%。</w:t>
      </w:r>
    </w:p>
    <w:p>
      <w:pPr>
        <w:ind w:firstLine="400"/>
        <w:jc w:val="both"/>
      </w:pPr>
      <w:r>
        <w:t>值得注意的是，尽管整体执行率较高，但仍有部分单位的预算执行情况存在差异。例如，单位201的研发类项目平均执行率为92%，而基础设施类项目的平均执行率为84%，环保类项目的平均执行率为86%；单位202的研发类项目平均执行率为88%，基础设施类项目的平均执行率为83%，环保类项目的平均执行率为87%。这些数据表明，尽管各单位在资金使用上保持了较高的效率和合规性，但在不同类型的项目中仍存在一定的差异。</w:t>
      </w:r>
    </w:p>
    <w:p>
      <w:pPr>
        <w:ind w:firstLine="400"/>
        <w:jc w:val="both"/>
      </w:pPr>
      <w:r>
        <w:t>此外，预算执行情况与战略目标的对齐度也得到了体现。研发类项目由于其高占比和高效的资金执行率，显示出了公司在技术创新方面的持续投入和重视程度。基础设施和环保项目的资金使用则体现了公司对于可持续发展和社会责任的关注。</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涉火项目占比29%（45个），重点跟踪项目占比18%（28个），新增项目占比16%（25个）。资金执行总额为10.5亿元，其中型号研制类项目占执行资金的42%（4.4亿元），平均执行率为78%。涉火项目的资金执行率为73%，重点跟踪项目和新增项目的资金执行率分别为79%和68%。</w:t>
      </w:r>
    </w:p>
    <w:p>
      <w:pPr>
        <w:ind w:firstLine="400"/>
        <w:jc w:val="both"/>
      </w:pPr>
      <w:r>
        <w:t>在负责单位承诺方面，单位201、202和其他单位均按时提交了相关报告，并完成了年度目标的85%。预算执行情况显示，大部分单位的资金使用效率较高，但有3个单位的预算执行数据缺失或不完整，影响了整体分析的全面性。</w:t>
      </w:r>
    </w:p>
    <w:p>
      <w:pPr>
        <w:ind w:firstLine="400"/>
        <w:jc w:val="both"/>
      </w:pPr>
      <w:r>
        <w:t>业务价值方面，通过优化项目管理和提高资金使用效率，本年度在提升研发能力和增强企业竞争力方面取得了显著成效。特别是在型号研制和涉火项目上，项目的成功实施不仅提升了企业的技术实力，还增强了市场响应速度和客户满意度。此外，重点跟踪项目的进展也表明公司在战略方向上的精准布局，为未来的可持续发展奠定了坚实基础。</w:t>
      </w:r>
    </w:p>
    <w:p>
      <w:pPr>
        <w:ind w:firstLine="400"/>
        <w:jc w:val="both"/>
      </w:pPr>
      <w:r>
        <w:t>综上所述，2024年在项目管理和资金执行方面取得了积极成果，但仍有部分单位的数据缺失或不完整，需进一步加强数据收集与管理的规范性。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