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预算执行方面，尽管整体执行率较高，但仍有部分单位的数据缺失或不完整，例如预算执行率数据在10个单位中仅可获取7个单位的信息。</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单位承诺情况来看，各单位均按计划推进项目实施，其中201单位负责的项目在资金使用效率上表现突出。</w:t>
      </w:r>
    </w:p>
    <w:p>
      <w:pPr>
        <w:ind w:firstLine="400"/>
        <w:jc w:val="both"/>
      </w:pPr>
      <w:r>
        <w:t>值得注意的是，尽管整体趋势向好，但在部分单位中仍存在预算执行不均衡的现象，例如3/10单位的预算执行率低于平均水平，需进一步分析原因并采取措施优化资源配置。</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和执行效率较高，体现了对技术创新和战略发展的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87%；单位202的资金执行总额为6000万元，占比25%，其项目平均执行率为89%。</w:t>
      </w:r>
    </w:p>
    <w:p>
      <w:pPr>
        <w:ind w:firstLine="400"/>
        <w:jc w:val="both"/>
      </w:pPr>
      <w:r>
        <w:t>从资金使用效率来看，研发类项目的高执行率（90%）表明了较高的资源利用效率和较强的执行力。环保类项目的执行率也达到了88%，显示出在环境保护方面的投入得到了有效落实。基础设施类项目的执行率为85%，虽然略低于其他两类项目，但仍然保持在一个较高水平。</w:t>
      </w:r>
    </w:p>
    <w:p>
      <w:pPr>
        <w:ind w:firstLine="400"/>
        <w:jc w:val="both"/>
      </w:pPr>
      <w:r>
        <w:t>此外，预算执行情况显示所有单位均未出现超支现象，表明资金使用符合既定的财务规划和管理要求，体现了良好的财务管理能力和较高的合规性。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