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项目来源情况</w:t>
      </w:r>
      <w:r>
        <w:rPr>
          <w:b/>
        </w:rPr>
        <w:t>责任单位任务承担情况</w:t>
      </w:r>
      <w:r>
        <w:t>项目经费执行情况</w:t>
      </w:r>
    </w:p>
    <w:p>
      <w:r>
        <w:t>体概况分析：当前正在执行的项目数量为未知，型号研制项目数量为未知，涉火项目数量为未知，重点跟踪项目数量为未知，新增项目数量为未知，拖期项目数量为未知。总计项目数量为145个。由于具体各类项目数量数据缺失，无法提供详</w:t>
      </w:r>
    </w:p>
    <w:p>
      <w:r>
        <w:t>源总计为1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