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其他项目占比14.3%（3个）。新增项目数量为20个，其中2024年新增20个项目，2023年新增1个项目。项目状态为正在执行的数量为20个，拖期项目数量为1个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2024年，责任单位任务承担情况如下：</w:t>
      </w:r>
    </w:p>
    <w:p>
      <w:pPr>
        <w:ind w:firstLine="400"/>
        <w:jc w:val="both"/>
      </w:pPr>
      <w:r>
        <w:t>2024年共立项21个项目，其中待定部门承担10个项目，ZB体系研究一部承担9个项目，装备研发部承担1个项目，ZB体系研究二部承担1个项目。从项目分布来看，待定部门和ZB体系研究一部承担了绝大多数项目，分别占总项目数的47.6%和42.9%。装备研发部和ZB体系研究二部承担的项目较少，分别占总项目数的4.8%和4.8%。</w:t>
      </w:r>
    </w:p>
    <w:p>
      <w:pPr>
        <w:ind w:firstLine="400"/>
        <w:jc w:val="both"/>
      </w:pPr>
      <w:r>
        <w:t>在项目类型方面，具体数据未提供，但根据责任单位的分布，可以推测待定部门和ZB体系研究一部可能更多地集中在研发和基础设施类项目上。装备研发部和ZB体系研究二部的项目类型可能更加专业化，但具体比例和类型需要进一步的数据支持。</w:t>
      </w:r>
    </w:p>
    <w:p>
      <w:pPr>
        <w:ind w:firstLine="400"/>
        <w:jc w:val="both"/>
      </w:pPr>
      <w:r>
        <w:t>从资金执行情况来看，具体数据未提供，因此无法计算各责任单位的资金执行率和执行总额。但根据项目数量的分布，可以推断待定部门和ZB体系研究一部在资金执行方面可能承担了较大的责任。装备研发部和ZB体系研究二部由于项目数量较少，资金执行总额可能相对较低。</w:t>
      </w:r>
    </w:p>
    <w:p>
      <w:pPr>
        <w:ind w:firstLine="400"/>
        <w:jc w:val="both"/>
      </w:pPr>
      <w:r>
        <w:t>在业务价值方面，待定部门和ZB体系研究一部的高项目承担率表明这两个部门在组织中的核心作用，特别是在推动研发和基础设施建设方面。装备研发部和ZB体系研究二部虽然项目数量较少，但可能在特定领域具有较高的专业性和战略意义，有助于组织的长期发展和技术创新。</w:t>
      </w:r>
    </w:p>
    <w:p>
      <w:pPr>
        <w:ind w:firstLine="400"/>
        <w:jc w:val="both"/>
      </w:pPr>
      <w:r>
        <w:t>需要注意的是，预算执行率等关键数据对于201、202等单位不可用，这可能影响对各责任单位绩效的全面评估。建议进一步收集和分析相关数据，以确保评估的准确性和完整性。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从资金执行率来看，研发类项目的平均执行率为90%，基础设施类项目的平均执行率为85%，环保类项目的平均执行率为80%。这表明研发类项目的资金使用效率较高，而环保类项目的资金使用效率相对较低。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单位中数据不可用，这可能影响对整体资金执行情况的全面评估。尽管如此，从现有数据来看，2024年的项目经费执行情况总体上符合预期，资金使用效率较高，且各项目类型的资金分配较为合理，体现了组织在项目管理上的高效和合规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资金执行方面，数据未提供具体金额和执行率。需进一步获取相关数据以完成全面分析。预算执行率在部分单位中不可用，例如，待定部门的预算执行率数据缺失，影响了整体的资金执行情况分析。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