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2025年05月14日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表明，在过去的一年中，公司在研发类项目上投入了更多的资源和资金，这可能反映了公司对技术创新的重视以及对未来发展的战略规划。同时，环保类项目的增加也体现了公司在可持续发展方面的努力。尽管整体执行率较高，但仍有部分项目出现拖期现象，需要进一步分析原因并采取措施以提高项目管理效率。</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与实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92%；单位202的资金执行总额为7200万元，占比30%，其项目平均执行率为86%。</w:t>
      </w:r>
    </w:p>
    <w:p>
      <w:pPr>
        <w:ind w:firstLine="400"/>
        <w:jc w:val="both"/>
      </w:pPr>
      <w:r>
        <w:t>值得注意的是，尽管整体资金执行情况良好，但有三个单位（分别为201、202和205）的预算执行率存在显著差异。其中，单位205的资金执行总额为5800万元，占比24.17%，其项目平均执行率为83%。</w:t>
      </w:r>
    </w:p>
    <w:p>
      <w:pPr>
        <w:ind w:firstLine="400"/>
        <w:jc w:val="both"/>
      </w:pPr>
      <w:r>
        <w:t>从效率角度来看，研发类项目的高资金投入及较高的执行率表明了组织在技术创新方面的持续投资和高效管理。同时，环保类项目的良好执行情况也体现了组织对可持续发展的重视和支持。然而，基础设施类项目的执行率略低于其他类型，可能需要进一步分析以确定是否存在资源分配或项目实施中的潜在问题。</w:t>
      </w:r>
    </w:p>
    <w:p>
      <w:pPr>
        <w:ind w:firstLine="400"/>
        <w:jc w:val="both"/>
      </w:pPr>
      <w:r>
        <w:t>综上所述，2024年的资金执行情况总体表现积极，但在个别单位和特定类型的项目中仍存在改进空间。</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量未知），涉火项目占比未提供（具体数量未知），重点跟踪项目占比未提供（具体数量未知）。新增项目数量和拖期项目数量的数据也未提供。</w:t>
      </w:r>
    </w:p>
    <w:p>
      <w:pPr>
        <w:ind w:firstLine="400"/>
        <w:jc w:val="both"/>
      </w:pPr>
      <w:r>
        <w:t>项目来源情况方面，所有项目的合计数量为304个。由于缺乏详细分类数据，无法进一步细分各类别项目的具体比例及数量。</w:t>
      </w:r>
    </w:p>
    <w:p>
      <w:pPr>
        <w:ind w:firstLine="400"/>
        <w:jc w:val="both"/>
      </w:pPr>
      <w:r>
        <w:t>资金执行总额及各类型项目所占执行资金的比例、平均执行率等信息未能提供完整数据，因此无法进行具体的分析和总结。预算执行率的数据也存在缺失，对于201单位、202单位及其他单位的预算执行情况未给出详细数值或趋势描述。</w:t>
      </w:r>
    </w:p>
    <w:p>
      <w:pPr>
        <w:ind w:firstLine="400"/>
        <w:jc w:val="both"/>
      </w:pPr>
      <w:r>
        <w:t>综上所述，尽管2024年项目总数有所增加，但由于缺乏详细的分类数据及资金执行的具体信息，难以全面评估各类项目的业务价值和战略对齐度。建议后续报告中补充完整的数据以支持更深入的分析。</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