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析：当前正在执行的项目共67个，其中型号研制项目有13个，涉火项目62个。在这些项目中，确定为重点跟踪的项目有1个。此外，今年新增项目数量达到了145个。需要注意的是，当前存在14个拖期项目，需关注其进度管理。总体项目数量为145个，涵盖了所有提及的项目类型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