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总体概况</w:t>
      </w:r>
      <w:r>
        <w:rPr>
          <w:b/>
        </w:rPr>
        <w:t>责任单位任务承担情况</w:t>
        <w:t>责任单位共承担任务13项。</w:t>
      </w:r>
      <w:r>
        <w:rPr>
          <w:b/>
        </w:rPr>
        <w:t>项目经费执行情况</w:t>
        <w:t>项目经费总执行情况为145万元。</w:t>
      </w:r>
    </w:p>
    <w:p>
      <w:r>
        <w:rPr>
          <w:b/>
        </w:rPr>
        <w:t>项目来源情况</w:t>
        <w:t>项目来源总计为145个。</w:t>
      </w:r>
    </w:p>
    <w:p>
      <w:r>
        <w:t>体概况分</w:t>
      </w:r>
    </w:p>
    <w:p>
      <w:pPr>
        <w:pStyle w:val="ListBullet"/>
      </w:pPr>
      <w:r>
        <w:t>正在执行的项目数量总计67个。</w:t>
      </w:r>
    </w:p>
    <w:p>
      <w:pPr>
        <w:pStyle w:val="ListBullet"/>
      </w:pPr>
      <w:r>
        <w:t>型号研制项目总计13个。</w:t>
      </w:r>
    </w:p>
    <w:p>
      <w:pPr>
        <w:pStyle w:val="ListBullet"/>
      </w:pPr>
      <w:r>
        <w:t>涉火项目总计62个。</w:t>
      </w:r>
    </w:p>
    <w:p>
      <w:pPr>
        <w:pStyle w:val="ListBullet"/>
      </w:pPr>
      <w:r>
        <w:t>重点跟踪项目总计1个。</w:t>
      </w:r>
    </w:p>
    <w:p>
      <w:pPr>
        <w:pStyle w:val="ListBullet"/>
      </w:pPr>
      <w:r>
        <w:t>新增项目总计145个。</w:t>
      </w:r>
    </w:p>
    <w:p>
      <w:pPr>
        <w:pStyle w:val="ListBullet"/>
      </w:pPr>
      <w:r>
        <w:t>拖期项目总计14个。</w:t>
      </w:r>
    </w:p>
    <w:p>
      <w:r>
        <w:t>目数量为1</w:t>
      </w:r>
    </w:p>
    <w:p>
      <w:r>
        <w:t>源总计为1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位共承担任务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