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哎呀，看起来数据库里暂时还没有201所的项目数据呢！等有了新信息，我一定第一时间帮你生成报告哦~</w:t>
      </w:r>
      <w:r>
        <w:rPr>
          <w:b/>
        </w:rPr>
        <w:t>项目来源情况</w:t>
        <w:t>哎呀，看起来我们这里没有项目来源的数据可以总结呢！可能是数据正在路上，或者是时候添加一些新项目啦！如果有数据，我一定能帮你分析得明明白白的。</w:t>
      </w:r>
      <w:r>
        <w:rPr>
          <w:b/>
        </w:rPr>
        <w:t>责任单位任务承担情况</w:t>
        <w:t>哎呀，看起来我们这里暂时没有责任单位任务承担情况的数据，所以没法给你做一个详细的总结呢。不过，如果有新的数据进来，我一定能帮你快速搞定！</w:t>
      </w:r>
      <w:r>
        <w:rPr>
          <w:b/>
        </w:rPr>
        <w:t>项目经费执行情况</w:t>
        <w:t>根据数据库数据显示，地方企事业单位的项目经费执行情况为4620万元，占总经费61892万元的一定比例。这表明，地方企事业单位在项目经费使用上正稳步推进，但仍需关注经费的合理分配和使用效率，以确保项目顺利进行。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