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的数量为45个，新增项目数量为60个，拖期项目数量为12个。型号研制项目和涉火项目的数据暂未提供。</w:t>
      </w:r>
    </w:p>
    <w:p>
      <w:pPr>
        <w:ind w:firstLine="400"/>
        <w:jc w:val="both"/>
      </w:pPr>
      <w:r>
        <w:t>上述数据表明，在过去的一年中，公司在研发类项目上的投入显著增加，显示出对技术创新的高度重视。同时，环保类项目的增长也体现了公司对于可持续发展的承诺。基础设施类项目的稳定占比则保证了公司的基础运营能力。尽管存在部分项目延期的情况，但整体执行率较高，显示出了较高的管理效率和执行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可以看出，研发类项目在数量和资金投入上均占据主导地位，显示出公司在技术创新方面的持续重视。同时，环保类项目的增长也体现了公司对可持续发展的战略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45.3%（0.977亿元），平均执行率为89%。基础设施类项目的资金执行额为0.78亿元，占比36%，环保类项目资金执行额为0.3997亿元，占比18.5%。</w:t>
      </w:r>
    </w:p>
    <w:p>
      <w:pPr>
        <w:ind w:firstLine="400"/>
        <w:jc w:val="both"/>
      </w:pPr>
      <w:r>
        <w:t>在2024年，各责任单位的资金执行情况如下：单位201的预算执行率为92%，单位202的预算执行率为87%，其他单位平均预算执行率为86%。这些数据表明，在项目资金管理方面，各单位均保持了较高的执行率，体现了良好的财务管理和高效的资源配置能力。</w:t>
      </w:r>
    </w:p>
    <w:p>
      <w:pPr>
        <w:ind w:firstLine="400"/>
        <w:jc w:val="both"/>
      </w:pPr>
      <w:r>
        <w:t>值得注意的是，尽管环保类项目的数量较少，但其资金执行额占总执行金额的比例较高，显示出公司在可持续发展方面的投入力度加大。此外，研发类项目的高预算执行率（91%）表明公司对技术创新和产品开发的重视程度不断提升，这将有助于增强公司的市场竞争力。</w:t>
      </w:r>
    </w:p>
    <w:p>
      <w:pPr>
        <w:ind w:firstLine="400"/>
        <w:jc w:val="both"/>
      </w:pPr>
      <w:r>
        <w:t>综上所述，2024年项目经费执行情况总体良好，各类型项目均得到了有效资金支持，特别是在研发和环保领域投入显著增加。未来应继续关注预算执行率的变化趋势，并确保所有项目的资金使用符合既定目标和战略方向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方面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