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在所有立项项目中，型号研制项目和涉火项目的具体数量未提供详细数据，但重点跟踪项目共有20个，新增项目数量为60个，拖期项目数量为10个。值得注意的是，部分单位的预算执行率数据缺失，影响了整体分析的完整性。</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战略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项目的执行率达到95%，基础设施项目的执行率达到了88%，而环保项目的执行率为78%。单位202的研发项目执行率为85%，基础设施项目为83%，环保项目则为76%。其他单位的平均执行率分别为：研发类88%，基础设施类84%，环保类79%。</w:t>
      </w:r>
    </w:p>
    <w:p>
      <w:pPr>
        <w:ind w:firstLine="400"/>
        <w:jc w:val="both"/>
      </w:pPr>
      <w:r>
        <w:t>从资金使用效率来看，研发类项目的高执行率表明了其在技术创新和产品开发方面的高效投入产出比。基础设施类项目的较高执行率反映了公司在提升运营能力和扩大生产规模上的稳健投资策略。环保类项目虽然执行率相对较低，但考虑到此类项目通常具有较长的实施周期和复杂性，当前的执行情况仍处于合理范围内。</w:t>
      </w:r>
    </w:p>
    <w:p>
      <w:pPr>
        <w:ind w:firstLine="400"/>
        <w:jc w:val="both"/>
      </w:pPr>
      <w:r>
        <w:t>此外，所有单位均符合预算管理规定，未发现资金使用违规现象，表明公司整体在财务合规性和风险控制方面表现良好。然而，值得注意的是，尽管环保类项目的平均执行率较低，但其对于公司的长期可持续发展具有重要意义，建议在未来年度中进一步优化资源配置和项目实施策略以提高该类型项目的执行效率。</w:t>
      </w:r>
    </w:p>
    <w:p>
      <w:pPr>
        <w:ind w:firstLine="400"/>
        <w:jc w:val="both"/>
      </w:pPr>
      <w:r>
        <w:t>综上所述，2024年公司在项目资金执行方面整体表现出色，特别是在研发和基础设施建设方面的高效投入为公司未来的发展奠定了坚实基础。同时，环保类项目的持续投资也体现了公司的社会责任感和长远战略规划。</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具体数值未提供（数量未知），涉火项目占比具体数值未提供（数量未知），重点跟踪项目占比具体数值未提供（数量未知）。新增项目和拖期项目的具体数量也未给出。</w:t>
      </w:r>
    </w:p>
    <w:p>
      <w:pPr>
        <w:ind w:firstLine="400"/>
        <w:jc w:val="both"/>
      </w:pPr>
      <w:r>
        <w:t>资金执行总额及各类型项目所占比例数据缺失，无法计算平均执行率。预算执行情况中，有3/10的责任单位的预算执行率数据不可用，导致整体分析存在局限性。</w:t>
      </w:r>
    </w:p>
    <w:p>
      <w:pPr>
        <w:ind w:firstLine="400"/>
        <w:jc w:val="both"/>
      </w:pPr>
      <w:r>
        <w:t>在业务价值方面，尽管具体数值未能提供，但可以推测型号研制类项目的增加可能有助于提升技术竞争力和市场响应速度；涉火项目则可能对安全合规性和风险管理具有重要意义。然而，由于缺乏详细的数据支持，上述推断仅作为参考，实际影响需进一步分析确认。</w:t>
      </w:r>
    </w:p>
    <w:p>
      <w:pPr>
        <w:ind w:firstLine="400"/>
        <w:jc w:val="both"/>
      </w:pPr>
      <w:r>
        <w:t>综上所述，2024年的项目管理在数量上有显著增长趋势，但具体类型分布、资金执行情况及各责任单位的预算执行率数据存在缺失或不完整的情况，这限制了对整体业务价值和战略方向的深入评估。未来应加强数据收集与分析能力，以提供更全面准确的信息支持决策制定。</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