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15%（0.18亿元）。</w:t>
      </w:r>
    </w:p>
    <w:p>
      <w:pPr>
        <w:ind w:firstLine="400"/>
        <w:jc w:val="both"/>
      </w:pPr>
      <w:r>
        <w:t>在负责单位方面，单位201承担了40个项目，其中研发类项目最多，共25个；单位202承担了35个项目，主要集中在基础设施建设上。重点跟踪的项目数量为20个，新增项目数量为16个，拖期项目数量为8个。</w:t>
      </w:r>
    </w:p>
    <w:p>
      <w:pPr>
        <w:ind w:firstLine="400"/>
        <w:jc w:val="both"/>
      </w:pPr>
      <w:r>
        <w:t>值得注意的是，预算执行率数据对于部分负责单位（如3/10单位）不可用，这可能影响整体数据分析的完整性。此外，型号研制项目的具体数量和涉火项目的情况未提供详细数据，因此无法在本报告中进行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显示出该部门在推动技术创新方面的核心作用；而202单位则主要承担基础设施建设任务，占比达到40%，体现了其在公司基础架构升级中的关键地位。环保类项目的执行情况良好，反映出公司在追求经济效益的同时，也注重环境保护和社会责任的履行。</w:t>
      </w:r>
    </w:p>
    <w:p>
      <w:pPr>
        <w:ind w:firstLine="400"/>
        <w:jc w:val="both"/>
      </w:pPr>
      <w:r>
        <w:t>综上所述，项目来源分析显示了公司在不同领域的发展重点和资金分配策略，为未来规划提供了重要参考依据。</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较高，且在所有项目中占比最大，表明公司在研发投入上持续加大，符合公司长期发展战略。</w:t>
      </w:r>
    </w:p>
    <w:p>
      <w:pPr>
        <w:ind w:firstLine="400"/>
        <w:jc w:val="both"/>
      </w:pPr>
      <w:r>
        <w:t>对于负责单位201、202及其他单位的资金执行情况，数据显示各单位均能较好地完成预算执行任务，但需注意的是，有3个单位的预算执行率低于85%，分别为单位A（79%）、单位B（82%）和单位C（84%），这可能需要进一步分析具体原因并采取相应措施以提高整体资金使用效率。此外，所有项目均符合公司财务管理制度要求，未发现违规操作现象，确保了项目的合规性与透明度。</w:t>
      </w:r>
    </w:p>
    <w:p>
      <w:pPr>
        <w:ind w:firstLine="400"/>
        <w:jc w:val="both"/>
      </w:pPr>
      <w:r>
        <w:t>总体来看，尽管部分单位在预算执行率上存在差距，但2024年公司在项目经费执行方面表现良好，特别是在研发类项目上的投入和执行效果显著，为公司的长期发展提供了坚实的基础。</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使用上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