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项目来源情况</w:t>
      </w:r>
      <w:r>
        <w:rPr>
          <w:b/>
        </w:rPr>
        <w:t>责任单位任务承担情况</w:t>
      </w:r>
      <w:r>
        <w:t>项目经费执行情况</w:t>
      </w:r>
    </w:p>
    <w:p>
      <w:r>
        <w:t>体概况报告分析如下：当前，所有项目总计145个。具体而言，正在执行的项目数量、型号研制项目数量、涉火项目数量、重点跟踪项目数量、新增项目数量以及拖期项目数量的具体数据未提供，因此无法给出详细分析。但从总量来看，项目管理规模较为庞大，需要关注项目执行效率和资源分</w:t>
      </w:r>
    </w:p>
    <w:p>
      <w:r>
        <w:t>源总计为1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