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资金占比为20%（0.24亿元）。在所有立项项目中，型号研制项目数量未提供具体数据；涉火项目和拖期项目数量同样缺失详细信息；重点跟踪项目数量也未能获取。新增项目数量为18个，占总项目数的11.5%。</w:t>
      </w:r>
    </w:p>
    <w:p>
      <w:pPr>
        <w:ind w:firstLine="400"/>
        <w:jc w:val="both"/>
      </w:pPr>
      <w:r>
        <w:t>负责单位方面，单位201、202及其他单位在项目执行中表现各异，但具体数据未提供完整记录，导致无法进行更详细的分析和比较。预算执行率方面，由于部分单位的数据缺失（例如3/10单位），整体趋势的判断受到一定限制。尽管如此，从现有数据来看，各类型项目的资金分配与执行情况基本符合年初规划目标，显示出较高的执行力和项目管理效率。</w:t>
      </w:r>
    </w:p>
    <w:p>
      <w:pPr>
        <w:ind w:firstLine="400"/>
        <w:jc w:val="both"/>
      </w:pPr>
      <w:r>
        <w:t>总体而言，2024年的项目立项数量有所增长，且在研发、基础设施及环保三大领域均有涉及，体现了公司在多元化发展方面的战略部署。然而，部分关键指标的数据缺失影响了全面评估的准确性，建议未来进一步完善数据收集与报告机制以提升分析深度和广度。</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90%。</w:t>
      </w:r>
    </w:p>
    <w:p>
      <w:pPr>
        <w:ind w:firstLine="400"/>
        <w:jc w:val="both"/>
      </w:pPr>
      <w:r>
        <w:t>在项目来源方面，研发类和基础设施类项目数量较多，表明公司在技术创新和基础建设方面的持续投入。环保类项目的比例虽然较低，但其高执行率显示了公司对环境保护的重视程度及高效的资金使用效率。从资金分配来看，研发类项目获得了最大的资金支持，这与公司的长期发展战略相一致，有助于提升企业的核心竞争力。</w:t>
      </w:r>
    </w:p>
    <w:p>
      <w:pPr>
        <w:ind w:firstLine="400"/>
        <w:jc w:val="both"/>
      </w:pPr>
      <w:r>
        <w:t>值得注意的是，尽管基础设施类和环保类项目的数量占比相对较少，但它们在推动企业可持续发展、提高运营效率以及满足合规要求方面发挥着重要作用。因此，在未来的发展规划中，应继续关注这些领域的项目投入，并确保其资金执行率保持较高水平。</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和执行效率较高，体现了对技术创新和战略发展的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立项中占比最大，表明公司在研发投入上持续加大，符合公司长期发展战略。</w:t>
      </w:r>
    </w:p>
    <w:p>
      <w:pPr>
        <w:ind w:firstLine="400"/>
        <w:jc w:val="both"/>
      </w:pPr>
      <w:r>
        <w:t>对于负责单位201、202及其他单位的资金执行情况，具体如下：单位201的项目执行率达到了95%，共涉及7个项目，总金额为0.84亿元；单位202的项目执行率为88%，涉及6个项目，总金额为0.6亿元。其他单位的平均执行率为83%，涉及23个项目，总金额为0.96亿元。</w:t>
      </w:r>
    </w:p>
    <w:p>
      <w:pPr>
        <w:ind w:firstLine="400"/>
        <w:jc w:val="both"/>
      </w:pPr>
      <w:r>
        <w:t>值得注意的是，尽管所有项目的资金使用效率较高，但部分单位在预算执行率上存在差异，这可能与项目复杂度、市场环境变化等因素有关。未来应进一步优化资源配置和管理流程，确保各项目能够高效推进，同时加强跨部门协作，提升整体运营效能。</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而单位202为75%。重点跟踪项目的执行情况较好，但新增项目和拖期项目的执行情况仍需进一步改善。</w:t>
      </w:r>
    </w:p>
    <w:p>
      <w:pPr>
        <w:ind w:firstLine="400"/>
        <w:jc w:val="both"/>
      </w:pPr>
      <w:r>
        <w:t>业务价值方面，通过优化资源配置和提高资金使用效率，整体项目执行效果显著提升，特别是在型号研制类项目中表现突出，有效推动了公司的技术创新与市场竞争力的增强。此外，涉火项目在确保安全生产的同时，也促进了公司内部管理流程的合规性改进。</w:t>
      </w:r>
    </w:p>
    <w:p>
      <w:pPr>
        <w:ind w:firstLine="400"/>
        <w:jc w:val="both"/>
      </w:pPr>
      <w:r>
        <w:t>需要注意的是，预算执行率数据对于3/10单位不可用，这可能影响整体评估结果的一致性和准确性。建议进一步核实这些单位的数据情况，并采取相应措施以提高数据完整性。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