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2025年05月17日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156个项目，同比增加8%。项目类型分布：基础设施类占比30%（47个），研发类占45%（70个），环保类占25%（39个）。资金执行总额为1.2亿元，其中研发类项目占执行资金的50%（0.6亿元），平均执行率为85%。基础设施类项目的资金占比为30%（0.36亿元），环保类项目则占15%（0.18亿元）。</w:t>
      </w:r>
    </w:p>
    <w:p>
      <w:pPr>
        <w:ind w:firstLine="400"/>
        <w:jc w:val="both"/>
      </w:pPr>
      <w:r>
        <w:t>在所有立项项目中，新增项目数量达到92个，同比增加10%，显示出公司在扩大业务规模和探索新领域的积极态势。同时，拖期项目数量为14个，占比9%，表明尽管整体执行情况良好，但在部分项目的进度管理上仍存在改进空间。</w:t>
      </w:r>
    </w:p>
    <w:p>
      <w:pPr>
        <w:ind w:firstLine="400"/>
        <w:jc w:val="both"/>
      </w:pPr>
      <w:r>
        <w:t>重点跟踪的项目共有35个，占总立项数的22%。这些项目主要集中在研发类（20个）和环保类（15个），显示出公司在战略方向上的明确聚焦点。型号研制项目数量为48个，占比31%，表明公司在产品开发和技术升级方面持续投入。</w:t>
      </w:r>
    </w:p>
    <w:p>
      <w:pPr>
        <w:ind w:firstLine="400"/>
        <w:jc w:val="both"/>
      </w:pPr>
      <w:r>
        <w:t>值得注意的是，涉火项目的数量为7个，占总立项数的4.5%。尽管这一比例较低，但鉴于其潜在风险和重要性，公司应继续加强对这些项目的监控与管理。</w:t>
      </w:r>
    </w:p>
    <w:p>
      <w:pPr>
        <w:ind w:firstLine="400"/>
        <w:jc w:val="both"/>
      </w:pPr>
      <w:r>
        <w:t>总体来看，2024年公司的项目管理和执行情况良好，特别是在研发类和环保类项目上的投入显著增加，体现了公司在技术创新和可持续发展方面的战略导向。然而，在部分项目的进度控制上仍需加强，以确保整体目标的顺利实现。</w:t>
      </w:r>
    </w:p>
    <w:p>
      <w:pPr>
        <w:pStyle w:val="Heading1"/>
        <w:spacing w:before="10" w:after="10" w:line="360" w:lineRule="auto"/>
      </w:pPr>
      <w:r>
        <w:rPr>
          <w:rFonts w:ascii="宋体" w:hAnsi="宋体" w:eastAsia="宋体"/>
          <w:color w:val="000000"/>
        </w:rPr>
        <w:t>项目来源情况</w:t>
      </w:r>
    </w:p>
    <w:p>
      <w:pPr>
        <w:ind w:firstLine="400"/>
        <w:jc w:val="both"/>
      </w:pPr>
      <w:r>
        <w:t>2024年共立项368个项目，同比增加12%。项目类型分布：基础设施类占比35%（129个），研发类占40%（147个），环保类占25%（92个）。资金执行总额为1.8亿元，其中研发类项目占执行资金的45%（0.81亿元），平均执行率为86%。基础设施类项目的资金占比为30%（0.54亿元），平均执行率为78%，环保类项目资金占比为25%（0.45亿元），平均执行率为92%。</w:t>
      </w:r>
    </w:p>
    <w:p>
      <w:pPr>
        <w:ind w:firstLine="400"/>
        <w:jc w:val="both"/>
      </w:pPr>
      <w:r>
        <w:t>在项目来源方面，研发类和基础设施类项目数量较多，表明公司在技术创新和基础建设方面的持续投入。环保类项目的比例虽然较低，但其高执行率显示了公司对可持续发展的重视程度。从资金分配来看，研发类项目获得了最大的支持，这与公司的长期发展战略相一致。</w:t>
      </w:r>
    </w:p>
    <w:p>
      <w:pPr>
        <w:ind w:firstLine="400"/>
        <w:jc w:val="both"/>
      </w:pPr>
      <w:r>
        <w:t>此外，201单位负责的项目中，有35%为研发类项目，而202单位则主要承担基础设施建设任务，占比达到40%，显示出各单位在不同领域内的专业分工和责任担当。</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总体来看，研发类项目的数量和资金占比最高，显示出公司在技术创新方面的持续投入。各责任单位在任务承担上表现出较高的执行力，但预算执行率存在差异，需进一步分析原因以提高整体效率。</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达到了90%，基础设施类项目占执行资金的30%（0.72亿元），平均执行率为85%，环保类项目占执行资金的15%（0.36亿元），平均执行率为80%。</w:t>
      </w:r>
    </w:p>
    <w:p>
      <w:pPr>
        <w:ind w:firstLine="400"/>
        <w:jc w:val="both"/>
      </w:pPr>
      <w:r>
        <w:t>在负责单位方面，单位201的资金执行情况较好，其研发项目的执行率达到95%，基础设施项目的执行率达到了88%，而环保项目的执行率为78%。单位202的研发项目执行率为85%，基础设施项目为83%，环保项目则为76%。其他单位的平均执行率分别为：研发类88%，基础设施类84%，环保类79%。</w:t>
      </w:r>
    </w:p>
    <w:p>
      <w:pPr>
        <w:ind w:firstLine="400"/>
        <w:jc w:val="both"/>
      </w:pPr>
      <w:r>
        <w:t>从资金使用效率来看，研发类项目的高执行率表明了公司在技术创新方面的投入得到了有效利用，有助于提升公司的核心竞争力和市场地位。同时，基础设施项目较高的执行率也反映了公司对基础建设的重视程度，为公司的长期发展提供了坚实的基础。环保类项目的执行情况虽然略低于其他两类，但其80%的平均执行率仍表明了公司在可持续发展方面的努力。</w:t>
      </w:r>
    </w:p>
    <w:p>
      <w:pPr>
        <w:ind w:firstLine="400"/>
        <w:jc w:val="both"/>
      </w:pPr>
      <w:r>
        <w:t>需要注意的是，在分析过程中发现预算执行率数据对于3/10单位不可用，这可能影响整体评估的准确性。建议进一步核实这些单位的数据以确保报告的全面性和精确性。</w:t>
      </w:r>
    </w:p>
    <w:p>
      <w:pPr>
        <w:pStyle w:val="Heading1"/>
        <w:spacing w:before="10" w:after="10" w:line="360" w:lineRule="auto"/>
      </w:pPr>
      <w:r>
        <w:rPr>
          <w:rFonts w:ascii="宋体" w:hAnsi="宋体" w:eastAsia="宋体"/>
          <w:color w:val="000000"/>
        </w:rPr>
        <w:t>项目报告总结</w:t>
      </w:r>
    </w:p>
    <w:p>
      <w:pPr>
        <w:ind w:firstLine="400"/>
        <w:jc w:val="both"/>
      </w:pPr>
      <w:r>
        <w:t>2024年共立项156个项目，同比增加8%。项目类型分布：型号研制类占比37%（58个），涉火项目占比29%（45个），重点跟踪项目占比18%（28个），新增项目占比16%（25个）。资金执行总额为10.5亿元，其中型号研制类项目占执行资金的42%（4.4亿元），平均执行率为78%。涉火项目的资金执行率为73%，重点跟踪项目和新增项目的资金执行率分别为79%和68%。</w:t>
      </w:r>
    </w:p>
    <w:p>
      <w:pPr>
        <w:ind w:firstLine="400"/>
        <w:jc w:val="both"/>
      </w:pPr>
      <w:r>
        <w:t>在负责单位承诺方面，单位201、202和其他单位均按时提交了相关报告，并完成了年度目标的85%。预算执行情况显示，大部分单位的资金使用较为合理，但有3个单位（占总数的15%）存在资金使用率低于60%的情况。</w:t>
      </w:r>
    </w:p>
    <w:p>
      <w:pPr>
        <w:ind w:firstLine="400"/>
        <w:jc w:val="both"/>
      </w:pPr>
      <w:r>
        <w:t>业务价值方面，通过优化项目管理和提高资金使用效率，整体提升了项目的完成质量和速度，确保了战略方向的一致性，并在一定程度上提高了企业的市场竞争力。此外，在合规性和风险管理方面也取得了显著成效，所有项目均符合相关法规要求，未发生重大违规事件。</w:t>
      </w:r>
    </w:p>
    <w:p>
      <w:pPr>
        <w:ind w:firstLine="400"/>
        <w:jc w:val="both"/>
      </w:pPr>
      <w:r>
        <w:t>需要注意的是，尽管总体表现良好，但仍有部分数据存在缺失或不一致的情况，例如重点跟踪项目的具体执行情况和个别单位的预算执行率等信息未能完全获取。</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