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根据现有数据，以下是项目总体概况的概览报告分析：</w:t>
        <w:br/>
        <w:br/>
        <w:t>- 正在执行的项目总数为36个，这表明我们有相当数量的项目正在积极进行中。</w:t>
        <w:br/>
        <w:t>- 型号研制项目有12个，占所有执行中项目的三分之一，显示了我们在创新和研发方面的持续投入。</w:t>
        <w:br/>
        <w:t>- 涉火项目数量为23个，这可能是我们业务或项目中的一个重点或特殊领域，需要特别关注和资源分配。</w:t>
        <w:br/>
        <w:t>- 新增项目数量为38个，这表明我们的项目组合正在增长，可能需要额外的资源和规划来确保所有项目都能顺利进行。</w:t>
        <w:br/>
        <w:br/>
        <w:t>报告中没有提到重点跟踪和拖期项目数量，这可能意味着所有项目都在按计划进行，或者这些数据暂未更新。</w:t>
        <w:br/>
        <w:br/>
        <w:t>总体而言，我们的项目组合活跃且多元化，显示了公司在不同领域的投入和扩展。需要持续关注项目的执行情况，确保资源的有效分配和项目目标的达成。</w:t>
      </w:r>
      <w:r>
        <w:rPr>
          <w:b/>
        </w:rPr>
        <w:t>项目来源情况</w:t>
        <w:t>根据数据库数据显示，项目来源情况总结如下：目前共有38个项目，这些项目都归类在“01-项目基本信息”类别下，与合计数一致，表明数据完整无遗漏。</w:t>
      </w:r>
      <w:r>
        <w:rPr>
          <w:b/>
        </w:rPr>
        <w:t>责任单位任务承担情况</w:t>
        <w:t>根据数据库数据，军委机关承担了11项任务，各兵种及其他承担了25项，集团公司和其他军工集团分别承担了1项任务。国家部委，地方科研院所和高校，以及地方企事业单位目前尚未承担任务。总计，责任单位共承担了38项任务。</w:t>
      </w:r>
      <w:r>
        <w:rPr>
          <w:b/>
        </w:rPr>
        <w:t>项目经费执行情况</w:t>
        <w:t>从项目经费执行情况来看，军委机关的经费使用最高，达到了12001480.54元，占据了绝大部分比例。各兵种及其他类别的经费使用为20561元，国家部委、地方科研院所和高校、地方企事业单位的经费使用目前为零。集团公司和其他军工集团的经费使用均为500元。总体来看，经费主要集中在军委机关使用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