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根据现有数据，我们有以下项目总体概况的概览：</w:t>
        <w:br/>
        <w:br/>
        <w:t>- 新增项目数量总计为144个，这表明我们有相当的项目启动，显示出活跃的业务发展。</w:t>
        <w:br/>
        <w:t>- 拖期项目数量总计为13个，这需要我们关注，以确保项目按计划进行，避免对总体进度产生负面影响。</w:t>
        <w:br/>
        <w:br/>
        <w:t>目前，我们没有具体数据关于项目状态为正在执行的数量，型号研制项目数量，涉火项目数量以及重点跟踪项目数量。这可能需要我们进一步收集信息或更新数据库，以获得更全面的项目状态概览。</w:t>
      </w:r>
      <w:r>
        <w:rPr>
          <w:b/>
        </w:rPr>
        <w:t>项目来源情况</w:t>
        <w:t>哎呀，看起来我们这里没有项目来源的数据可以总结呢！等有了新数据，再来找我吧，我随时待命哦~</w:t>
      </w:r>
      <w:r>
        <w:rPr>
          <w:b/>
        </w:rPr>
        <w:t>责任单位任务承担情况</w:t>
        <w:t>根据数据库数据，我们可以看到在任务承担方面，军委机关承担了39项任务，是承担任务最多的责任单位。各兵种及其他、集团公司和其它军工集团分别承担了18、18和21项任务，国家部委和地方科研院所及高校各自承担了17项任务，地方企事业单位承担了14项任务。所有单位合计承担了144项任务。这表明，军委机关的任务承担量明显高于其他单位，而其他单位之间的任务承担量则相对均衡。</w:t>
      </w:r>
      <w:r>
        <w:rPr>
          <w:b/>
        </w:rPr>
        <w:t>项目经费执行情况</w:t>
        <w:t>根据数据库数据，我们可以看到项目经费执行情况如下：
- 军委机关的经费执行量最大，达到了121432万元，占据了总经费的大部分。
- 各兵种及其他单位的经费执行量为6070万元，国家部委为6400万元，这两部分相对较小。
- 集团公司的经费执行量为10050万元，其他军工集团为12690万元，这两部分也占据了相当的比例。
- 地方科研院所和高校的经费执行量为6710万元，地方企事业单位为4620万元，这两部分相对较少。
总计，项目经费执行总额为167972万元。
以上数据反映了不同单位在项目经费执行中的参与程度和贡献，军委机关的经费执行量最大，显示出其在项目执行中的重要地位。其他单位的经费执行量虽然相对较小，但也为项目的顺利进行做出了贡献。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