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15%（0.18亿元）。</w:t>
      </w:r>
    </w:p>
    <w:p>
      <w:pPr>
        <w:ind w:firstLine="400"/>
        <w:jc w:val="both"/>
      </w:pPr>
      <w:r>
        <w:t>在所有立项项目中，新增项目数量达到72个，同比增加10%，显示出公司在扩大业务规模和探索新领域的积极态势。拖期项目数量为14个，占比9%，表明尽管整体执行情况良好，但仍存在部分项目未能按时完成的情况。重点跟踪的项目共有35个，占总项目的22%。</w:t>
      </w:r>
    </w:p>
    <w:p>
      <w:pPr>
        <w:ind w:firstLine="400"/>
        <w:jc w:val="both"/>
      </w:pPr>
      <w:r>
        <w:t>从项目来源看，内部发起的项目占60%，外部合作项目占40%，显示出公司在保持自主创新能力的同时，也在积极寻求与外部合作伙伴的合作机会。在负责单位方面，单位201和202分别承担了主要的研发类和基础设施类项目执行任务，其资金使用效率分别为87%和83%，表明这些单位在资源利用上具有较高的效能。</w:t>
      </w:r>
    </w:p>
    <w:p>
      <w:pPr>
        <w:ind w:firstLine="400"/>
        <w:jc w:val="both"/>
      </w:pPr>
      <w:r>
        <w:t>需要注意的是，预算执行率数据对于部分单位（如3/10的单位）仍不可用，这可能影响到整体数据分析的全面性。</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为85%。这些数据有助于进一步分析各单位在不同领域的工作效率和资源分配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分别完成了其年度预算的95%和92%，而其他单位则普遍达到了87%的完成率。</w:t>
      </w:r>
    </w:p>
    <w:p>
      <w:pPr>
        <w:ind w:firstLine="400"/>
        <w:jc w:val="both"/>
      </w:pPr>
      <w:r>
        <w:t>值得注意的是，尽管环保类项目的数量较少，但它们的资金使用效率较高，显示出公司在可持续发展方面的投入正在逐步增加。此外，研发类项目资金执行情况良好，表明公司持续重视技术创新与产品开发，这将有助于提升公司的长期竞争力和市场地位。然而，预算执行过程中也存在一些单位未能完全达到预期目标的情况，需要进一步分析原因并采取相应措施以提高整体的资金使用效率。</w:t>
      </w:r>
    </w:p>
    <w:p>
      <w:pPr>
        <w:ind w:firstLine="400"/>
        <w:jc w:val="both"/>
      </w:pPr>
      <w:r>
        <w:t>在确保数据完整性和准确性的前提下，上述分析基于现有数据进行，并未对缺失或不一致的数据做出假设或补充。例如，有3个单位的预算执行率数据不可用，这可能影响了部分结论的全面性。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