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2025年05月19日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156个项目，同比增加8%。项目类型分布：基础设施类占比30%（47个），研发类占45%（70个），环保类占25%（39个）。资金执行总额为1.2亿元，其中研发类项目占执行资金的50%（0.6亿元），平均执行率为85%。基础设施类项目的资金占比为30%（0.36亿元），环保类项目则占20%（0.24亿元）。</w:t>
      </w:r>
    </w:p>
    <w:p>
      <w:pPr>
        <w:ind w:firstLine="400"/>
        <w:jc w:val="both"/>
      </w:pPr>
      <w:r>
        <w:t>在所有立项项目中，新增项目数量达到100个，同比增加10%，显示出公司在扩大业务规模和探索新领域的积极态势。拖期项目数量为8个，占比5%，表明大部分项目的执行进度较为理想。重点跟踪的项目有30个，占总项目数的19%。</w:t>
      </w:r>
    </w:p>
    <w:p>
      <w:pPr>
        <w:ind w:firstLine="400"/>
        <w:jc w:val="both"/>
      </w:pPr>
      <w:r>
        <w:t>从项目来源看，内部发起的项目占60%，外部合作项目占40%，显示出公司在保持自主创新能力的同时，也在积极寻求与外部合作伙伴的战略协作机会。在负责单位方面，201和202两个单位分别承担了35个和40个项目，是主要的责任方。</w:t>
      </w:r>
    </w:p>
    <w:p>
      <w:pPr>
        <w:ind w:firstLine="400"/>
        <w:jc w:val="both"/>
      </w:pPr>
      <w:r>
        <w:t>总体来看，公司2024年的项目管理表现出较高的效率和执行力，特别是在研发类项目的推进上取得了显著进展，为公司的长期战略目标提供了有力支持。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368个项目，同比增加12%。项目类型分布：基础设施类占比35%（129个），研发类占40%（147个），环保类占25%（92个）。资金执行总额为1.8亿元，其中研发类项目占执行资金的45%（0.81亿元），平均执行率为86%。基础设施类项目的资金占比为30%（0.54亿元），平均执行率为78%，环保类项目资金占比为25%（0.45亿元），平均执行率为92%。</w:t>
      </w:r>
    </w:p>
    <w:p>
      <w:pPr>
        <w:ind w:firstLine="400"/>
        <w:jc w:val="both"/>
      </w:pPr>
      <w:r>
        <w:t>在负责单位的承诺情况方面，单位201、202及其他单位均按时提交了相关资料。其中，单位201承担的研发类项目最多，共67个；基础设施类项目由单位202主导，共计58个项目；环保类项目则主要由其他单位负责，共有43个项目。</w:t>
      </w:r>
    </w:p>
    <w:p>
      <w:pPr>
        <w:ind w:firstLine="400"/>
        <w:jc w:val="both"/>
      </w:pPr>
      <w:r>
        <w:t>从数据中可以看出，研发类项目的数量和资金投入均占比较高，表明公司在技术创新方面的持续重视。同时，环保类项目的执行率最高，显示出公司对可持续发展的承诺及高效执行力。基础设施类项目虽然占比略低，但其在支持整体运营中的基础作用不容忽视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资金执行总额为2.4亿元，其中研发类项目占执行资金的55%（1.32亿元），平均执行率达到了90%，基础设施类项目占执行资金的30%（0.72亿元），平均执行率为85%，环保类项目占执行资金的15%（0.36亿元），平均执行率为80%。在所有负责单位中，单位201和202表现突出，其项目执行率分别达到了95%和92%，显著高于平均水平。</w:t>
      </w:r>
    </w:p>
    <w:p>
      <w:pPr>
        <w:ind w:firstLine="400"/>
        <w:jc w:val="both"/>
      </w:pPr>
      <w:r>
        <w:t>预算执行情况显示，尽管整体上各项目的资金使用效率较高，但仍有部分单位存在执行偏差，如单位301的执行率为78%，低于平均值。此外，研发类项目在资金投入与产出比方面表现优异，不仅执行率高，而且对组织的战略目标贡献显著。</w:t>
      </w:r>
    </w:p>
    <w:p>
      <w:pPr>
        <w:ind w:firstLine="400"/>
        <w:jc w:val="both"/>
      </w:pPr>
      <w:r>
        <w:t>值得注意的是，环保类项目虽然数量较少，但在预算执行过程中表现出较高的合规性，所有相关项目的执行均符合既定标准和时间表。这表明，在推动可持续发展目标的同时，也保持了良好的财务纪律。</w:t>
      </w:r>
    </w:p>
    <w:p>
      <w:pPr>
        <w:ind w:firstLine="400"/>
        <w:jc w:val="both"/>
      </w:pPr>
      <w:r>
        <w:t>综上所述，2024年的项目经费执行情况总体良好，特别是在研发和基础设施建设方面取得了显著成效，为组织的长期发展奠定了坚实基础。然而，仍需关注部分单位在预算执行上的不足，并采取相应措施以提升整体效率与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156个项目，同比增加8%。项目类型分布：型号研制类占比37%（58个），基础设施类占29%（45个），环保类占18%（28个），其余为其他类别。资金执行总额达到12.5亿元，其中型号研制类项目占执行资金的40%（5亿元），平均执行率为85%，研发类项目的平均执行率略低，为79%。</w:t>
      </w:r>
    </w:p>
    <w:p>
      <w:pPr>
        <w:ind w:firstLine="400"/>
        <w:jc w:val="both"/>
      </w:pPr>
      <w:r>
        <w:t>在负责单位承诺状态方面，主要涉及单位包括201、202等。201单位承担了36个项目，其中型号研制项目占比较大；202单位则侧重于基础设施建设，共承担45个项目。重点跟踪的项目数量达到28个，同比增加10%，表明公司在关键项目的管理上更加重视。</w:t>
      </w:r>
    </w:p>
    <w:p>
      <w:pPr>
        <w:ind w:firstLine="400"/>
        <w:jc w:val="both"/>
      </w:pPr>
      <w:r>
        <w:t>报告期间内，新增项目数量为37个，同比增长了9%。拖期项目数量有所减少，从去年同期的16个降至今年的12个，显示出在项目进度控制方面取得了一定成效。然而，预算执行率数据对于3/10单位仍不可用，这可能影响到整体资金使用效率的评估。</w:t>
      </w:r>
    </w:p>
    <w:p>
      <w:pPr>
        <w:ind w:firstLine="400"/>
        <w:jc w:val="both"/>
      </w:pPr>
      <w:r>
        <w:t>综上所述，尽管面临一些挑战，如部分单位的数据缺失问题，公司在2024年的项目管理和执行中取得了显著进展，特别是在型号研制和基础设施建设方面表现突出。未来应继续加强数据收集与管理，确保所有负责单位的信息透明度，以进一步提升整体运营效率和战略一致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