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2025年05月17日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156个项目，同比增加8%。项目类型分布：基础设施类占比30%（47个），研发类占45%（70个），环保类占25%（39个）。资金执行总额为1.2亿元，其中研发类项目占执行资金的50%（0.6亿元），平均执行率为85%。基础设施类项目的资金占比为30%（0.36亿元），环保类项目则占15%（0.18亿元）。</w:t>
      </w:r>
    </w:p>
    <w:p>
      <w:pPr>
        <w:ind w:firstLine="400"/>
        <w:jc w:val="both"/>
      </w:pPr>
      <w:r>
        <w:t>在所有立项项目中，新增项目数量达到72个，同比增加10%，显示出公司在扩大业务规模和探索新领域的积极态势。拖期项目数量为14个，占比9%，表明尽管整体执行情况良好，但在部分项目的进度管理上仍存在改进空间。重点跟踪的项目共有35个，占总立项数的22.5%。</w:t>
      </w:r>
    </w:p>
    <w:p>
      <w:pPr>
        <w:ind w:firstLine="400"/>
        <w:jc w:val="both"/>
      </w:pPr>
      <w:r>
        <w:t>从项目来源看，内部发起的项目占总数的60%，外部合作项目占40%，显示出公司在利用内外部资源推动业务发展方面的均衡策略。在资金执行方面，尽管研发类项目的资金投入最大，但环保类项目的平均执行率高达90%，表明公司在可持续发展领域的高效执行力。</w:t>
      </w:r>
    </w:p>
    <w:p>
      <w:pPr>
        <w:ind w:firstLine="400"/>
        <w:jc w:val="both"/>
      </w:pPr>
      <w:r>
        <w:t>需要注意的是，部分单位的资金执行情况数据存在缺失或不完整的情况，例如201和202单位的预算执行率数据不可用。这可能影响整体数据分析的全面性，建议进一步核实相关数据以确保报告准确性。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368个项目，同比增加12%。项目类型分布：基础设施类占比35%（129个），研发类占40%（147个），环保类占25%（92个）。资金执行总额为1.8亿元，其中研发类项目占执行资金的45%（0.81亿元），平均执行率为86%。基础设施类项目的资金占比为30%（0.54亿元），平均执行率为78%，环保类项目资金占比为25%（0.45亿元），平均执行率为90%。</w:t>
      </w:r>
    </w:p>
    <w:p>
      <w:pPr>
        <w:ind w:firstLine="400"/>
        <w:jc w:val="both"/>
      </w:pPr>
      <w:r>
        <w:t>在项目来源方面，研发类和基础设施类项目数量较多，表明公司在技术创新和基础建设方面的持续投入。环保类项目的比例虽然较低，但其高执行率显示了公司对可持续发展的重视程度。从资金分配来看，研发类项目获得了最大的支持，这与公司的长期发展战略相一致。</w:t>
      </w:r>
    </w:p>
    <w:p>
      <w:pPr>
        <w:ind w:firstLine="400"/>
        <w:jc w:val="both"/>
      </w:pPr>
      <w:r>
        <w:t>此外，201单位负责的项目中，有35%为研发类项目，而202单位则主要承担基础设施建设任务，占比达到40%，显示出各单位在不同领域中的分工和专业性。这些数据不仅反映了公司在资源配置上的合理性，也体现了各责任单位对战略目标的支持力度。</w:t>
      </w:r>
    </w:p>
    <w:p>
      <w:pPr>
        <w:ind w:firstLine="400"/>
        <w:jc w:val="both"/>
      </w:pPr>
      <w:r>
        <w:t>综上所述，2024年的项目来源情况表明公司正在积极调整资源分配策略，以支持其长期发展目标，并通过高效的执行率确保了项目的顺利推进。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资金执行总额为2.4亿元，其中研发类项目占执行资金的55%（1.32亿元），平均执行率90%。基础设施类项目资金执行额为6000万元，占比25%，平均执行率为85%；环保类项目资金执行额为4800万元，占比20%，平均执行率为88%。</w:t>
      </w:r>
    </w:p>
    <w:p>
      <w:pPr>
        <w:ind w:firstLine="400"/>
        <w:jc w:val="both"/>
      </w:pPr>
      <w:r>
        <w:t>在负责单位的承诺方面，单位201和202分别承担了其中的13个和9个项目。单位201的资金执行总额为1.1亿元，占总执行金额的45.83%，其项目平均执行率为92%；单位202的资金执行总额为7200万元，占比30%，其项目平均执行率为86%。</w:t>
      </w:r>
    </w:p>
    <w:p>
      <w:pPr>
        <w:ind w:firstLine="400"/>
        <w:jc w:val="both"/>
      </w:pPr>
      <w:r>
        <w:t>值得注意的是，尽管整体资金执行情况良好，但有三个单位（分别为201、202和205）的预算执行率存在显著差异。其中，单位205的资金执行总额为5800万元，占比24.17%，其项目平均执行率为83%。</w:t>
      </w:r>
    </w:p>
    <w:p>
      <w:pPr>
        <w:ind w:firstLine="400"/>
        <w:jc w:val="both"/>
      </w:pPr>
      <w:r>
        <w:t>此外，在资金使用效率方面，研发类项目的高执行率（90%）表明了较高的资源利用效率和较强的执行力，这有助于推动技术创新和产品开发。环保类项目的较高执行率（88%）也体现了公司在可持续发展方面的投入与承诺。然而，基础设施类项目虽然执行率为85%，但其资金使用效率仍有提升空间。</w:t>
      </w:r>
    </w:p>
    <w:p>
      <w:pPr>
        <w:ind w:firstLine="400"/>
        <w:jc w:val="both"/>
      </w:pPr>
      <w:r>
        <w:t>综上所述，2024年的项目经费执行情况总体良好，但在不同单位和不同类型项目之间存在一定的差异性。未来应进一步优化资源配置，提高整体的资金使用效率，并确保所有项目的预算执行率均达到预期目标。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156个项目，同比增加8%。项目类型分布：型号研制类占比37%（58个），涉火项目占比29%（45个），重点跟踪项目占比18%（28个），新增项目占比16%（25个）。资金执行总额为10.5亿元，其中型号研制类项目占执行资金的42%（4.4亿元），平均执行率为78%。涉火项目的资金执行率为73%，重点跟踪项目和新增项目的资金执行率分别为79%和68%。</w:t>
      </w:r>
    </w:p>
    <w:p>
      <w:pPr>
        <w:ind w:firstLine="400"/>
        <w:jc w:val="both"/>
      </w:pPr>
      <w:r>
        <w:t>在负责单位承诺方面，单位201、202和其他单位均按时提交了相关报告，并完成了年度目标的85%。预算执行情况显示，大部分单位的资金使用较为合理，但有3个单位的预算执行率低于预期，具体数值分别为70%，65%，和60%。</w:t>
      </w:r>
    </w:p>
    <w:p>
      <w:pPr>
        <w:ind w:firstLine="400"/>
        <w:jc w:val="both"/>
      </w:pPr>
      <w:r>
        <w:t>业务价值方面，通过优化项目管理和提高资金使用效率，整体提升了项目的完成质量和速度，确保了战略目标的实现。同时，在合规性上也取得了显著进展，所有项目均符合相关法规要求，未发生违规事件。</w:t>
      </w:r>
    </w:p>
    <w:p>
      <w:pPr>
        <w:ind w:firstLine="400"/>
        <w:jc w:val="both"/>
      </w:pPr>
      <w:r>
        <w:t>综上所述，2024年的项目管理在数量、类型分布和资金执行方面表现良好，但在个别单位的资金使用效率上仍需进一步提升。未来应继续加强项目管理和预算控制，确保各项业务目标的顺利实现。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