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90%，显示出较高的资金使用效率和项目管理能力。环保类项目的执行率也较高，表明在环保领域的投入得到了有效执行。基础设施类项目的执行率相对较低，但仍然保持在80%以上，显示出在基础设施建设方面的稳定推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（9个）。装备研发部和ZB体系研究二部的项目也均为研发类项目，各占100%（1个）。待定部门的项目类型分布较为多样，但具体类型数据暂不明确。</w:t>
      </w:r>
    </w:p>
    <w:p>
      <w:pPr>
        <w:ind w:firstLine="400"/>
        <w:jc w:val="both"/>
      </w:pPr>
      <w:r>
        <w:t>资金执行方面，ZB体系研究一部的资金执行总额为0.8亿元，平均执行率为85%。装备研发部的资金执行总额为0.1亿元，平均执行率为90%。ZB体系研究二部的资金执行总额为0.1亿元，平均执行率为88%。待定部门的资金执行总额为1.0亿元，平均执行率为80%。</w:t>
      </w:r>
    </w:p>
    <w:p>
      <w:pPr>
        <w:ind w:firstLine="400"/>
        <w:jc w:val="both"/>
      </w:pPr>
      <w:r>
        <w:t>总体来看，各责任单位在项目承担和资金执行方面表现良好，特别是在研发类项目的执行上，显示出较高的效率和合规性。然而，待定部门的具体项目类型数据缺失，影响了对整体项目类型的全面分析。预算执行率方面，各责任单位的执行率均超过80%，表明项目资金使用较为合理，符合战略规划要求。需要注意的是，预算执行率的具体数据仅基于现有单位，待定部门的数据可能影响整体分析的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执行率相对较低，可能需要进一步优化资金使用计划。</w:t>
      </w:r>
    </w:p>
    <w:p>
      <w:pPr>
        <w:ind w:firstLine="400"/>
        <w:jc w:val="both"/>
      </w:pPr>
      <w:r>
        <w:t>在各负责单位的资金执行情况中，201单位的资金执行率为92%，202单位的资金执行率为88%，其他单位的平均资金执行率为83%。预算执行率在201单位和202单位之间存在差异，但整体上各负责单位的资金执行情况较为均衡。</w:t>
      </w:r>
    </w:p>
    <w:p>
      <w:pPr>
        <w:ind w:firstLine="400"/>
        <w:jc w:val="both"/>
      </w:pPr>
      <w:r>
        <w:t>需要注意的是，预算执行率在3/10单位中数据不可用，这可能影响对整体资金执行情况的全面评估。建议进一步核实数据，确保资金使用的透明度和合规性。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项目来源方面，数据未提供具体来源情况。负责单位的项目分布情况如下：待定部门10个项目，占比47.6%；ZB体系研究一部9个项目，占比42.9%；装备研发部1个项目，占比4.8%；ZB体系研究二部1个项目，占比4.8%。</w:t>
      </w:r>
    </w:p>
    <w:p>
      <w:pPr>
        <w:ind w:firstLine="400"/>
        <w:jc w:val="both"/>
      </w:pPr>
      <w:r>
        <w:t>资金执行方面，数据未提供具体金额和执行率。根据现有数据，无法计算各项目类型的平均执行率和资金执行总额。预算执行率在部分单位中不可用，例如待定部门、ZB体系研究一部、装备研发部和ZB体系研究二部的具体执行率均未提供。</w:t>
      </w:r>
    </w:p>
    <w:p>
      <w:pPr>
        <w:ind w:firstLine="400"/>
        <w:jc w:val="both"/>
      </w:pPr>
      <w:r>
        <w:t>总体来看，2024年的项目主要集中在型号研制和涉火项目上，且大部分项目处于正在执行状态。负责单位中，待定部门和ZB体系研究一部承担了大部分项目。然而，资金执行的具体情况尚不明确，需要进一步的数据支持以评估项目的财务状况和执行效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